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line="280"/>
      </w:pPr>
      <w:r>
        <w:rPr>
          <w:rFonts w:ascii="Avenir Next" w:cs="Avenir Next" w:eastAsia="Avenir Next" w:hAnsi="Avenir Next"/>
          <w:color w:val="5A6474"/>
          <w:sz w:val="18"/>
          <w:szCs w:val="18"/>
        </w:rPr>
        <w:t xml:space="preserve">September 2026</w:t>
      </w:r>
    </w:p>
    <w:p>
      <w:pPr>
        <w:spacing w:after="60" w:line="280"/>
      </w:pPr>
      <w:r>
        <w:rPr>
          <w:rFonts w:ascii="Avenir Next" w:cs="Avenir Next" w:eastAsia="Avenir Next" w:hAnsi="Avenir Next"/>
          <w:color w:val="5A6474"/>
          <w:sz w:val="18"/>
          <w:szCs w:val="18"/>
        </w:rPr>
        <w:t xml:space="preserve">Sample client update — Hosted Companies Ltd. Client: a critical-power and data-centre services company. Identity withheld.</w:t>
      </w:r>
    </w:p>
    <w:p>
      <w:pPr>
        <w:spacing w:after="60" w:line="280"/>
      </w:pPr>
      <w:r>
        <w:rPr>
          <w:rFonts w:ascii="Avenir Next" w:cs="Avenir Next" w:eastAsia="Avenir Next" w:hAnsi="Avenir Next"/>
          <w:color w:val="5A6474"/>
          <w:sz w:val="18"/>
          <w:szCs w:val="18"/>
        </w:rPr>
        <w:t xml:space="preserve">Context: the client reviewed the new home page on staging and sent a numbered list of changes; this is our reply.</w:t>
      </w:r>
    </w:p>
    <w:p>
      <w:pPr>
        <w:spacing w:after="280" w:line="280"/>
      </w:pPr>
      <w:r>
        <w:rPr>
          <w:rFonts w:ascii="Avenir Next" w:cs="Avenir Next" w:eastAsia="Avenir Next" w:hAnsi="Avenir Next"/>
          <w:b/>
          <w:bCs/>
          <w:color w:val="1B2A44"/>
          <w:sz w:val="22"/>
          <w:szCs w:val="22"/>
        </w:rPr>
        <w:t xml:space="preserve">Re: Website updates — home page</w:t>
      </w:r>
    </w:p>
    <w:p>
      <w:pPr>
        <w:spacing w:after="120" w:line="280"/>
      </w:pPr>
      <w:r>
        <w:rPr>
          <w:rFonts w:ascii="Avenir Next" w:cs="Avenir Next" w:eastAsia="Avenir Next" w:hAnsi="Avenir Next"/>
          <w:color w:val="1B2A44"/>
          <w:sz w:val="22"/>
          <w:szCs w:val="22"/>
        </w:rPr>
        <w:t xml:space="preserve">Hi,</w:t>
      </w:r>
    </w:p>
    <w:p>
      <w:pPr>
        <w:spacing w:after="120" w:line="280"/>
      </w:pPr>
      <w:r>
        <w:rPr>
          <w:rFonts w:ascii="Avenir Next" w:cs="Avenir Next" w:eastAsia="Avenir Next" w:hAnsi="Avenir Next"/>
          <w:color w:val="1B2A44"/>
          <w:sz w:val="22"/>
          <w:szCs w:val="22"/>
        </w:rPr>
        <w:t xml:space="preserve">Thanks for going through the home page so carefully — that was exactly the level of detail we needed. Everything you asked for is now live on the staging site, and while I was in there I’ve also made a few consistency changes across the other pages (details below):</w:t>
      </w:r>
    </w:p>
    <w:p>
      <w:pPr>
        <w:spacing w:after="240" w:line="280"/>
      </w:pPr>
      <w:r>
        <w:rPr>
          <w:rFonts w:ascii="Avenir Next" w:cs="Avenir Next" w:eastAsia="Avenir Next" w:hAnsi="Avenir Next"/>
          <w:color w:val="1F4E9C"/>
          <w:sz w:val="22"/>
          <w:szCs w:val="22"/>
          <w:u w:val="single"/>
        </w:rPr>
        <w:t xml:space="preserve">(staging link)</w:t>
      </w:r>
    </w:p>
    <w:p>
      <w:pPr>
        <w:pStyle w:val="Heading2"/>
        <w:spacing w:after="100" w:before="240"/>
      </w:pPr>
      <w:r>
        <w:rPr>
          <w:rFonts w:ascii="Avenir Next" w:cs="Avenir Next" w:eastAsia="Avenir Next" w:hAnsi="Avenir Next"/>
          <w:b/>
          <w:bCs/>
          <w:color w:val="1B2A44"/>
          <w:sz w:val="26"/>
          <w:szCs w:val="26"/>
        </w:rPr>
        <w:t xml:space="preserve">Where each item stands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0"/>
        <w:gridCol w:w="5400"/>
        <w:gridCol w:w="2600"/>
      </w:tblGrid>
      <w:tr>
        <w:trPr>
          <w:tblHeader/>
        </w:trPr>
        <w:tc>
          <w:tcPr>
            <w:tcW w:type="dxa" w:w="1000"/>
            <w:tcBorders>
              <w:top w:val="single" w:color="D9DEE7" w:sz="4"/>
              <w:left w:val="none" w:color="FFFFFF" w:sz="0"/>
              <w:bottom w:val="single" w:color="D9DEE7" w:sz="4"/>
              <w:right w:val="none" w:color="FFFFFF" w:sz="0"/>
            </w:tcBorders>
            <w:shd w:fill="F2F4F8" w:color="auto" w:val="clear"/>
            <w:tcMar>
              <w:top w:type="dxa" w:w="60"/>
              <w:left w:type="dxa" w:w="120"/>
              <w:bottom w:type="dxa" w:w="60"/>
              <w:right w:type="dxa" w:w="120"/>
            </w:tcMar>
          </w:tcPr>
          <w:p>
            <w:pPr>
              <w:spacing w:after="0"/>
            </w:pPr>
            <w:r>
              <w:rPr>
                <w:rFonts w:ascii="Avenir Next" w:cs="Avenir Next" w:eastAsia="Avenir Next" w:hAnsi="Avenir Next"/>
                <w:b/>
                <w:bCs/>
                <w:color w:val="1B2A44"/>
                <w:sz w:val="20"/>
                <w:szCs w:val="20"/>
              </w:rPr>
              <w:t xml:space="preserve">#</w:t>
            </w:r>
          </w:p>
        </w:tc>
        <w:tc>
          <w:tcPr>
            <w:tcW w:type="dxa" w:w="5400"/>
            <w:tcBorders>
              <w:top w:val="single" w:color="D9DEE7" w:sz="4"/>
              <w:left w:val="none" w:color="FFFFFF" w:sz="0"/>
              <w:bottom w:val="single" w:color="D9DEE7" w:sz="4"/>
              <w:right w:val="none" w:color="FFFFFF" w:sz="0"/>
            </w:tcBorders>
            <w:shd w:fill="F2F4F8" w:color="auto" w:val="clear"/>
            <w:tcMar>
              <w:top w:type="dxa" w:w="60"/>
              <w:left w:type="dxa" w:w="120"/>
              <w:bottom w:type="dxa" w:w="60"/>
              <w:right w:type="dxa" w:w="120"/>
            </w:tcMar>
          </w:tcPr>
          <w:p>
            <w:pPr>
              <w:spacing w:after="0"/>
            </w:pPr>
            <w:r>
              <w:rPr>
                <w:rFonts w:ascii="Avenir Next" w:cs="Avenir Next" w:eastAsia="Avenir Next" w:hAnsi="Avenir Next"/>
                <w:b/>
                <w:bCs/>
                <w:color w:val="1B2A44"/>
                <w:sz w:val="20"/>
                <w:szCs w:val="20"/>
              </w:rPr>
              <w:t xml:space="preserve">Your request</w:t>
            </w:r>
          </w:p>
        </w:tc>
        <w:tc>
          <w:tcPr>
            <w:tcW w:type="dxa" w:w="2600"/>
            <w:tcBorders>
              <w:top w:val="single" w:color="D9DEE7" w:sz="4"/>
              <w:left w:val="none" w:color="FFFFFF" w:sz="0"/>
              <w:bottom w:val="single" w:color="D9DEE7" w:sz="4"/>
              <w:right w:val="none" w:color="FFFFFF" w:sz="0"/>
            </w:tcBorders>
            <w:shd w:fill="F2F4F8" w:color="auto" w:val="clear"/>
            <w:tcMar>
              <w:top w:type="dxa" w:w="60"/>
              <w:left w:type="dxa" w:w="120"/>
              <w:bottom w:type="dxa" w:w="60"/>
              <w:right w:type="dxa" w:w="120"/>
            </w:tcMar>
          </w:tcPr>
          <w:p>
            <w:pPr>
              <w:spacing w:after="0"/>
            </w:pPr>
            <w:r>
              <w:rPr>
                <w:rFonts w:ascii="Avenir Next" w:cs="Avenir Next" w:eastAsia="Avenir Next" w:hAnsi="Avenir Next"/>
                <w:b/>
                <w:bCs/>
                <w:color w:val="1B2A44"/>
                <w:sz w:val="20"/>
                <w:szCs w:val="20"/>
              </w:rPr>
              <w:t xml:space="preserve">Status</w:t>
            </w:r>
          </w:p>
        </w:tc>
      </w:tr>
      <w:tr>
        <w:tc>
          <w:tcPr>
            <w:tcW w:type="dxa" w:w="10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1</w:t>
            </w:r>
          </w:p>
        </w:tc>
        <w:tc>
          <w:tcPr>
            <w:tcW w:type="dxa" w:w="54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Larger logo in the header</w:t>
            </w:r>
          </w:p>
        </w:tc>
        <w:tc>
          <w:tcPr>
            <w:tcW w:type="dxa" w:w="26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7A9A1A"/>
                <w:sz w:val="20"/>
                <w:szCs w:val="20"/>
              </w:rPr>
              <w:t xml:space="preserve">Done</w:t>
            </w:r>
          </w:p>
        </w:tc>
      </w:tr>
      <w:tr>
        <w:tc>
          <w:tcPr>
            <w:tcW w:type="dxa" w:w="10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2</w:t>
            </w:r>
          </w:p>
        </w:tc>
        <w:tc>
          <w:tcPr>
            <w:tcW w:type="dxa" w:w="54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Photographic hero with the dark fade (battery and supplier logo removed)</w:t>
            </w:r>
          </w:p>
        </w:tc>
        <w:tc>
          <w:tcPr>
            <w:tcW w:type="dxa" w:w="26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7A9A1A"/>
                <w:sz w:val="20"/>
                <w:szCs w:val="20"/>
              </w:rPr>
              <w:t xml:space="preserve">Done</w:t>
            </w:r>
          </w:p>
        </w:tc>
      </w:tr>
      <w:tr>
        <w:tc>
          <w:tcPr>
            <w:tcW w:type="dxa" w:w="10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3</w:t>
            </w:r>
          </w:p>
        </w:tc>
        <w:tc>
          <w:tcPr>
            <w:tcW w:type="dxa" w:w="54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New intro line: “Providing uninterruptible power solutions and expert maintenance supporting critical National infrastructure”</w:t>
            </w:r>
          </w:p>
        </w:tc>
        <w:tc>
          <w:tcPr>
            <w:tcW w:type="dxa" w:w="26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7A9A1A"/>
                <w:sz w:val="20"/>
                <w:szCs w:val="20"/>
              </w:rPr>
              <w:t xml:space="preserve">Done</w:t>
            </w:r>
          </w:p>
        </w:tc>
      </w:tr>
      <w:tr>
        <w:tc>
          <w:tcPr>
            <w:tcW w:type="dxa" w:w="10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4</w:t>
            </w:r>
          </w:p>
        </w:tc>
        <w:tc>
          <w:tcPr>
            <w:tcW w:type="dxa" w:w="54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Company name in the brand green on the dark background</w:t>
            </w:r>
          </w:p>
        </w:tc>
        <w:tc>
          <w:tcPr>
            <w:tcW w:type="dxa" w:w="26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7A9A1A"/>
                <w:sz w:val="20"/>
                <w:szCs w:val="20"/>
              </w:rPr>
              <w:t xml:space="preserve">Done</w:t>
            </w:r>
          </w:p>
        </w:tc>
      </w:tr>
      <w:tr>
        <w:tc>
          <w:tcPr>
            <w:tcW w:type="dxa" w:w="10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5</w:t>
            </w:r>
          </w:p>
        </w:tc>
        <w:tc>
          <w:tcPr>
            <w:tcW w:type="dxa" w:w="54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Sectors we work with — unchanged, awaiting your comments</w:t>
            </w:r>
          </w:p>
        </w:tc>
        <w:tc>
          <w:tcPr>
            <w:tcW w:type="dxa" w:w="26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B0641A"/>
                <w:sz w:val="20"/>
                <w:szCs w:val="20"/>
              </w:rPr>
              <w:t xml:space="preserve">Awaiting you</w:t>
            </w:r>
          </w:p>
        </w:tc>
      </w:tr>
      <w:tr>
        <w:tc>
          <w:tcPr>
            <w:tcW w:type="dxa" w:w="10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6</w:t>
            </w:r>
          </w:p>
        </w:tc>
        <w:tc>
          <w:tcPr>
            <w:tcW w:type="dxa" w:w="54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“About us” section — new paragraph</w:t>
            </w:r>
          </w:p>
        </w:tc>
        <w:tc>
          <w:tcPr>
            <w:tcW w:type="dxa" w:w="26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7A9A1A"/>
                <w:sz w:val="20"/>
                <w:szCs w:val="20"/>
              </w:rPr>
              <w:t xml:space="preserve">Done</w:t>
            </w:r>
          </w:p>
        </w:tc>
      </w:tr>
      <w:tr>
        <w:tc>
          <w:tcPr>
            <w:tcW w:type="dxa" w:w="10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7</w:t>
            </w:r>
          </w:p>
        </w:tc>
        <w:tc>
          <w:tcPr>
            <w:tcW w:type="dxa" w:w="54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“About us” section — product-line photo in place of the previous supplier image</w:t>
            </w:r>
          </w:p>
        </w:tc>
        <w:tc>
          <w:tcPr>
            <w:tcW w:type="dxa" w:w="26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7A9A1A"/>
                <w:sz w:val="20"/>
                <w:szCs w:val="20"/>
              </w:rPr>
              <w:t xml:space="preserve">Done</w:t>
            </w:r>
          </w:p>
        </w:tc>
      </w:tr>
      <w:tr>
        <w:tc>
          <w:tcPr>
            <w:tcW w:type="dxa" w:w="10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8</w:t>
            </w:r>
          </w:p>
        </w:tc>
        <w:tc>
          <w:tcPr>
            <w:tcW w:type="dxa" w:w="54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Data Centre Design &amp; Build — new wording</w:t>
            </w:r>
          </w:p>
        </w:tc>
        <w:tc>
          <w:tcPr>
            <w:tcW w:type="dxa" w:w="26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7A9A1A"/>
                <w:sz w:val="20"/>
                <w:szCs w:val="20"/>
              </w:rPr>
              <w:t xml:space="preserve">Done</w:t>
            </w:r>
          </w:p>
        </w:tc>
      </w:tr>
      <w:tr>
        <w:tc>
          <w:tcPr>
            <w:tcW w:type="dxa" w:w="10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9</w:t>
            </w:r>
          </w:p>
        </w:tc>
        <w:tc>
          <w:tcPr>
            <w:tcW w:type="dxa" w:w="54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Maintenance &amp; Emergency Service — title updated</w:t>
            </w:r>
          </w:p>
        </w:tc>
        <w:tc>
          <w:tcPr>
            <w:tcW w:type="dxa" w:w="26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7A9A1A"/>
                <w:sz w:val="20"/>
                <w:szCs w:val="20"/>
              </w:rPr>
              <w:t xml:space="preserve">Done</w:t>
            </w:r>
          </w:p>
        </w:tc>
      </w:tr>
      <w:tr>
        <w:tc>
          <w:tcPr>
            <w:tcW w:type="dxa" w:w="10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10</w:t>
            </w:r>
          </w:p>
        </w:tc>
        <w:tc>
          <w:tcPr>
            <w:tcW w:type="dxa" w:w="54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Trusted by — old logos removed, all new clients listed (as names until logos arrive)</w:t>
            </w:r>
          </w:p>
        </w:tc>
        <w:tc>
          <w:tcPr>
            <w:tcW w:type="dxa" w:w="26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7A9A1A"/>
                <w:sz w:val="20"/>
                <w:szCs w:val="20"/>
              </w:rPr>
              <w:t xml:space="preserve">Done</w:t>
            </w:r>
          </w:p>
        </w:tc>
      </w:tr>
      <w:tr>
        <w:tc>
          <w:tcPr>
            <w:tcW w:type="dxa" w:w="10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11</w:t>
            </w:r>
          </w:p>
        </w:tc>
        <w:tc>
          <w:tcPr>
            <w:tcW w:type="dxa" w:w="54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Accreditations — additional industry accreditation added</w:t>
            </w:r>
          </w:p>
        </w:tc>
        <w:tc>
          <w:tcPr>
            <w:tcW w:type="dxa" w:w="26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7A9A1A"/>
                <w:sz w:val="20"/>
                <w:szCs w:val="20"/>
              </w:rPr>
              <w:t xml:space="preserve">Done</w:t>
            </w:r>
          </w:p>
        </w:tc>
      </w:tr>
      <w:tr>
        <w:tc>
          <w:tcPr>
            <w:tcW w:type="dxa" w:w="10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12</w:t>
            </w:r>
          </w:p>
        </w:tc>
        <w:tc>
          <w:tcPr>
            <w:tcW w:type="dxa" w:w="54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“Contact us today” with phone, sales email and Get a quotation</w:t>
            </w:r>
          </w:p>
        </w:tc>
        <w:tc>
          <w:tcPr>
            <w:tcW w:type="dxa" w:w="26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7A9A1A"/>
                <w:sz w:val="20"/>
                <w:szCs w:val="20"/>
              </w:rPr>
              <w:t xml:space="preserve">Done</w:t>
            </w:r>
          </w:p>
        </w:tc>
      </w:tr>
      <w:tr>
        <w:tc>
          <w:tcPr>
            <w:tcW w:type="dxa" w:w="10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13</w:t>
            </w:r>
          </w:p>
        </w:tc>
        <w:tc>
          <w:tcPr>
            <w:tcW w:type="dxa" w:w="54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Footer — larger logo</w:t>
            </w:r>
          </w:p>
        </w:tc>
        <w:tc>
          <w:tcPr>
            <w:tcW w:type="dxa" w:w="26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7A9A1A"/>
                <w:sz w:val="20"/>
                <w:szCs w:val="20"/>
              </w:rPr>
              <w:t xml:space="preserve">Done</w:t>
            </w:r>
          </w:p>
        </w:tc>
      </w:tr>
      <w:tr>
        <w:tc>
          <w:tcPr>
            <w:tcW w:type="dxa" w:w="10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14</w:t>
            </w:r>
          </w:p>
        </w:tc>
        <w:tc>
          <w:tcPr>
            <w:tcW w:type="dxa" w:w="54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Footer — new strapline</w:t>
            </w:r>
          </w:p>
        </w:tc>
        <w:tc>
          <w:tcPr>
            <w:tcW w:type="dxa" w:w="26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7A9A1A"/>
                <w:sz w:val="20"/>
                <w:szCs w:val="20"/>
              </w:rPr>
              <w:t xml:space="preserve">Done</w:t>
            </w:r>
          </w:p>
        </w:tc>
      </w:tr>
      <w:tr>
        <w:tc>
          <w:tcPr>
            <w:tcW w:type="dxa" w:w="10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15</w:t>
            </w:r>
          </w:p>
        </w:tc>
        <w:tc>
          <w:tcPr>
            <w:tcW w:type="dxa" w:w="54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1B2A44"/>
                <w:sz w:val="20"/>
                <w:szCs w:val="20"/>
              </w:rPr>
              <w:t xml:space="preserve">Footer — Documents list: T&amp;Cs of Sale, Carbon Reduction Plan, Environmental &amp; Sustainability Policy</w:t>
            </w:r>
          </w:p>
        </w:tc>
        <w:tc>
          <w:tcPr>
            <w:tcW w:type="dxa" w:w="2600"/>
            <w:tcBorders>
              <w:top w:val="single" w:color="D9DEE7" w:sz="4"/>
              <w:left w:val="none" w:color="FFFFFF" w:sz="0"/>
              <w:bottom w:val="single" w:color="D9DEE7" w:sz="4"/>
              <w:right w:val="none" w:color="FFFFFF" w:sz="0"/>
            </w:tcBorders>
            <w:tcMar>
              <w:top w:type="dxa" w:w="60"/>
              <w:left w:type="dxa" w:w="120"/>
              <w:bottom w:type="dxa" w:w="60"/>
              <w:right w:type="dxa" w:w="120"/>
            </w:tcMar>
          </w:tcPr>
          <w:p>
            <w:pPr>
              <w:spacing w:after="0"/>
            </w:pPr>
            <w:r>
              <w:rPr>
                <w:rFonts w:ascii="Avenir Next" w:cs="Avenir Next" w:eastAsia="Avenir Next" w:hAnsi="Avenir Next"/>
                <w:b w:val="false"/>
                <w:bCs w:val="false"/>
                <w:color w:val="7A9A1A"/>
                <w:sz w:val="20"/>
                <w:szCs w:val="20"/>
              </w:rPr>
              <w:t xml:space="preserve">Done</w:t>
            </w:r>
          </w:p>
        </w:tc>
      </w:tr>
    </w:tbl>
    <w:p>
      <w:pPr>
        <w:spacing w:after="200" w:line="280"/>
      </w:pPr>
      <w:r>
        <w:rPr>
          <w:rFonts w:ascii="Avenir Next" w:cs="Avenir Next" w:eastAsia="Avenir Next" w:hAnsi="Avenir Next"/>
          <w:color w:val="1B2A44"/>
          <w:sz w:val="22"/>
          <w:szCs w:val="22"/>
        </w:rPr>
        <w:t xml:space="preserve"/>
      </w:r>
    </w:p>
    <w:p>
      <w:pPr>
        <w:pStyle w:val="Heading2"/>
        <w:spacing w:after="100" w:before="240"/>
      </w:pPr>
      <w:r>
        <w:rPr>
          <w:rFonts w:ascii="Avenir Next" w:cs="Avenir Next" w:eastAsia="Avenir Next" w:hAnsi="Avenir Next"/>
          <w:b/>
          <w:bCs/>
          <w:color w:val="1B2A44"/>
          <w:sz w:val="26"/>
          <w:szCs w:val="26"/>
        </w:rPr>
        <w:t xml:space="preserve">Two things I need from you</w:t>
      </w:r>
    </w:p>
    <w:p>
      <w:pPr>
        <w:pStyle w:val="ListParagraph"/>
        <w:numPr>
          <w:ilvl w:val="0"/>
          <w:numId w:val="2"/>
        </w:numPr>
        <w:spacing w:after="60" w:line="280"/>
      </w:pPr>
      <w:r>
        <w:rPr>
          <w:rFonts w:ascii="Avenir Next" w:cs="Avenir Next" w:eastAsia="Avenir Next" w:hAnsi="Avenir Next"/>
          <w:b/>
          <w:bCs/>
          <w:color w:val="1B2A44"/>
          <w:sz w:val="22"/>
          <w:szCs w:val="22"/>
        </w:rPr>
        <w:t xml:space="preserve">Client logos. </w:t>
      </w:r>
      <w:r>
        <w:rPr>
          <w:rFonts w:ascii="Avenir Next" w:cs="Avenir Next" w:eastAsia="Avenir Next" w:hAnsi="Avenir Next"/>
          <w:color w:val="1B2A44"/>
          <w:sz w:val="22"/>
          <w:szCs w:val="22"/>
        </w:rPr>
        <w:t xml:space="preserve">Please send whatever you have for the clients on the list. Anything you don’t have I’ll source from the clients’ own brand pages, and I’ll show you the full set, greyed and sized to match, before it goes up. The names are showing as text in the meantime.</w:t>
      </w:r>
    </w:p>
    <w:p>
      <w:pPr>
        <w:pStyle w:val="ListParagraph"/>
        <w:numPr>
          <w:ilvl w:val="0"/>
          <w:numId w:val="2"/>
        </w:numPr>
        <w:spacing w:after="60" w:line="280"/>
      </w:pPr>
      <w:r>
        <w:rPr>
          <w:rFonts w:ascii="Avenir Next" w:cs="Avenir Next" w:eastAsia="Avenir Next" w:hAnsi="Avenir Next"/>
          <w:b/>
          <w:bCs/>
          <w:color w:val="1B2A44"/>
          <w:sz w:val="22"/>
          <w:szCs w:val="22"/>
        </w:rPr>
        <w:t xml:space="preserve">Accreditation certificates and badges. </w:t>
      </w:r>
      <w:r>
        <w:rPr>
          <w:rFonts w:ascii="Avenir Next" w:cs="Avenir Next" w:eastAsia="Avenir Next" w:hAnsi="Avenir Next"/>
          <w:color w:val="1B2A44"/>
          <w:sz w:val="22"/>
          <w:szCs w:val="22"/>
        </w:rPr>
        <w:t xml:space="preserve">For the Accreditations page — the ISO certificates and the industry scheme badges.</w:t>
      </w:r>
    </w:p>
    <w:p>
      <w:pPr>
        <w:pStyle w:val="Heading2"/>
        <w:spacing w:after="100" w:before="240"/>
      </w:pPr>
      <w:r>
        <w:rPr>
          <w:rFonts w:ascii="Avenir Next" w:cs="Avenir Next" w:eastAsia="Avenir Next" w:hAnsi="Avenir Next"/>
          <w:b/>
          <w:bCs/>
          <w:color w:val="1B2A44"/>
          <w:sz w:val="26"/>
          <w:szCs w:val="26"/>
        </w:rPr>
        <w:t xml:space="preserve">One question on the product photos</w:t>
      </w:r>
    </w:p>
    <w:p>
      <w:pPr>
        <w:spacing w:after="120" w:line="280"/>
      </w:pPr>
      <w:r>
        <w:rPr>
          <w:rFonts w:ascii="Avenir Next" w:cs="Avenir Next" w:eastAsia="Avenir Next" w:hAnsi="Avenir Next"/>
          <w:color w:val="1B2A44"/>
          <w:sz w:val="22"/>
          <w:szCs w:val="22"/>
        </w:rPr>
        <w:t xml:space="preserve">I’ve removed the manufacturer’s wordmark from the product-line image and cropped out the battery with the supplier logo from the hero. The individual units in both photos still carry small manufacturer badges — they’re part of the product photography rather than an overlay. At normal viewing size they’re barely noticeable, but they are there on close inspection. Happy to retouch the most prominent ones if you’d prefer; just say.</w:t>
      </w:r>
    </w:p>
    <w:p>
      <w:pPr>
        <w:pStyle w:val="Heading2"/>
        <w:spacing w:after="100" w:before="240"/>
      </w:pPr>
      <w:r>
        <w:rPr>
          <w:rFonts w:ascii="Avenir Next" w:cs="Avenir Next" w:eastAsia="Avenir Next" w:hAnsi="Avenir Next"/>
          <w:b/>
          <w:bCs/>
          <w:color w:val="1B2A44"/>
          <w:sz w:val="26"/>
          <w:szCs w:val="26"/>
        </w:rPr>
        <w:t xml:space="preserve">Other changes I’ve made across the site</w:t>
      </w:r>
    </w:p>
    <w:p>
      <w:pPr>
        <w:pStyle w:val="ListParagraph"/>
        <w:numPr>
          <w:ilvl w:val="0"/>
          <w:numId w:val="2"/>
        </w:numPr>
        <w:spacing w:after="60" w:line="280"/>
      </w:pPr>
      <w:r>
        <w:rPr>
          <w:rFonts w:ascii="Avenir Next" w:cs="Avenir Next" w:eastAsia="Avenir Next" w:hAnsi="Avenir Next"/>
          <w:color w:val="1B2A44"/>
          <w:sz w:val="22"/>
          <w:szCs w:val="22"/>
        </w:rPr>
        <w:t xml:space="preserve">Normalised the page banners: Services, Products, Sectors, About, Accreditations, Careers and Contact now share the same banner height, the same black-to-blue gradient and the same heading treatment as the home page, so the site reads as one piece.</w:t>
      </w:r>
    </w:p>
    <w:p>
      <w:pPr>
        <w:pStyle w:val="ListParagraph"/>
        <w:numPr>
          <w:ilvl w:val="0"/>
          <w:numId w:val="2"/>
        </w:numPr>
        <w:spacing w:after="60" w:line="280"/>
      </w:pPr>
      <w:r>
        <w:rPr>
          <w:rFonts w:ascii="Avenir Next" w:cs="Avenir Next" w:eastAsia="Avenir Next" w:hAnsi="Avenir Next"/>
          <w:color w:val="1B2A44"/>
          <w:sz w:val="22"/>
          <w:szCs w:val="22"/>
        </w:rPr>
        <w:t xml:space="preserve">Products page: the three product cards now carry images (UPS systems, generator, data centre rack) — they were empty placeholders before.</w:t>
      </w:r>
    </w:p>
    <w:p>
      <w:pPr>
        <w:pStyle w:val="ListParagraph"/>
        <w:numPr>
          <w:ilvl w:val="0"/>
          <w:numId w:val="2"/>
        </w:numPr>
        <w:spacing w:after="60" w:line="280"/>
      </w:pPr>
      <w:r>
        <w:rPr>
          <w:rFonts w:ascii="Avenir Next" w:cs="Avenir Next" w:eastAsia="Avenir Next" w:hAnsi="Avenir Next"/>
          <w:color w:val="1B2A44"/>
          <w:sz w:val="22"/>
          <w:szCs w:val="22"/>
        </w:rPr>
        <w:t xml:space="preserve">Footer documents are linked from every page, not just the home page.</w:t>
      </w:r>
    </w:p>
    <w:p>
      <w:pPr>
        <w:pStyle w:val="Heading2"/>
        <w:spacing w:after="100" w:before="240"/>
      </w:pPr>
      <w:r>
        <w:rPr>
          <w:rFonts w:ascii="Avenir Next" w:cs="Avenir Next" w:eastAsia="Avenir Next" w:hAnsi="Avenir Next"/>
          <w:b/>
          <w:bCs/>
          <w:color w:val="1B2A44"/>
          <w:sz w:val="26"/>
          <w:szCs w:val="26"/>
        </w:rPr>
        <w:t xml:space="preserve">Still to come on the home page</w:t>
      </w:r>
    </w:p>
    <w:p>
      <w:pPr>
        <w:pStyle w:val="ListParagraph"/>
        <w:numPr>
          <w:ilvl w:val="0"/>
          <w:numId w:val="2"/>
        </w:numPr>
        <w:spacing w:after="60" w:line="280"/>
      </w:pPr>
      <w:r>
        <w:rPr>
          <w:rFonts w:ascii="Avenir Next" w:cs="Avenir Next" w:eastAsia="Avenir Next" w:hAnsi="Avenir Next"/>
          <w:color w:val="1B2A44"/>
          <w:sz w:val="22"/>
          <w:szCs w:val="22"/>
        </w:rPr>
        <w:t xml:space="preserve">Your comments on the Sectors section whenever you’re ready (item 5).</w:t>
      </w:r>
    </w:p>
    <w:p>
      <w:pPr>
        <w:pStyle w:val="ListParagraph"/>
        <w:numPr>
          <w:ilvl w:val="0"/>
          <w:numId w:val="2"/>
        </w:numPr>
        <w:spacing w:after="60" w:line="280"/>
      </w:pPr>
      <w:r>
        <w:rPr>
          <w:rFonts w:ascii="Avenir Next" w:cs="Avenir Next" w:eastAsia="Avenir Next" w:hAnsi="Avenir Next"/>
          <w:color w:val="1B2A44"/>
          <w:sz w:val="22"/>
          <w:szCs w:val="22"/>
        </w:rPr>
        <w:t xml:space="preserve">Client logos replacing the text list once you’ve sent them (item 10).</w:t>
      </w:r>
    </w:p>
    <w:p>
      <w:pPr>
        <w:spacing w:after="240" w:line="280"/>
      </w:pPr>
      <w:r>
        <w:rPr>
          <w:rFonts w:ascii="Avenir Next" w:cs="Avenir Next" w:eastAsia="Avenir Next" w:hAnsi="Avenir Next"/>
          <w:color w:val="1B2A44"/>
          <w:sz w:val="22"/>
          <w:szCs w:val="22"/>
        </w:rPr>
        <w:t xml:space="preserve">Once you’re happy with the home page, take a look at the other pages with the new banners and send over your comments on the next one in the same format — we’ll work through them one at a time. The T&amp;Cs, Carbon Reduction Plan and Environmental Policy are linked from the footer now, so when your office confirms what else needs to be there we can just add to the list.</w:t>
      </w:r>
    </w:p>
    <w:p>
      <w:pPr>
        <w:spacing w:after="400" w:line="280"/>
      </w:pPr>
      <w:r>
        <w:rPr>
          <w:rFonts w:ascii="Avenir Next" w:cs="Avenir Next" w:eastAsia="Avenir Next" w:hAnsi="Avenir Next"/>
          <w:color w:val="1B2A44"/>
          <w:sz w:val="22"/>
          <w:szCs w:val="22"/>
        </w:rPr>
        <w:t xml:space="preserve">Best regards,</w:t>
      </w:r>
    </w:p>
    <w:p>
      <w:pPr>
        <w:spacing w:after="40" w:line="280"/>
      </w:pPr>
      <w:r>
        <w:rPr>
          <w:rFonts w:ascii="Avenir Next" w:cs="Avenir Next" w:eastAsia="Avenir Next" w:hAnsi="Avenir Next"/>
          <w:b/>
          <w:bCs/>
          <w:color w:val="1B2A44"/>
          <w:sz w:val="22"/>
          <w:szCs w:val="22"/>
        </w:rPr>
        <w:t xml:space="preserve">Hosted Companies</w:t>
      </w:r>
    </w:p>
    <w:p>
      <w:pPr>
        <w:spacing w:after="120" w:line="280"/>
      </w:pPr>
      <w:r>
        <w:rPr>
          <w:rFonts w:ascii="Avenir Next" w:cs="Avenir Next" w:eastAsia="Avenir Next" w:hAnsi="Avenir Next"/>
          <w:color w:val="5A6474"/>
          <w:sz w:val="18"/>
          <w:szCs w:val="18"/>
        </w:rPr>
        <w:t xml:space="preserve">Hosted Companies Ltd  ·  0203 886 3391  ·  hostedcompanies.co.uk</w:t>
      </w:r>
    </w:p>
    <w:sectPr>
      <w:headerReference w:type="default" r:id="rId7"/>
      <w:footerReference w:type="default" r:id="rId8"/>
      <w:pgSz w:w="11906" w:h="16838" w:orient="portrait"/>
      <w:pgMar w:top="1300" w:right="1440" w:bottom="1150" w:left="1440" w:header="600" w:footer="50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drawing>
        <wp:inline distT="0" distB="0" distL="0" distR="0">
          <wp:extent cx="542925" cy="609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42925" cy="60960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ind w:left="2041"/>
    </w:pPr>
    <w:r>
      <w:drawing>
        <wp:inline distT="0" distB="0" distL="0" distR="0">
          <wp:extent cx="3076575" cy="847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076575" cy="8477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venir Next" w:cs="Avenir Next" w:eastAsia="Avenir Next" w:hAnsi="Avenir Next"/>
        <w:color w:val="1B2A44"/>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944ab4c84358095583cdfbb53fda1b4fa8543de2.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3684bd6a71bfc994ce2e01cc079cfbf312b7e37e.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2026-09-14T07:24:02.472Z</dcterms:created>
  <dcterms:modified xsi:type="dcterms:W3CDTF">2026-09-14T07:24:02.484Z</dcterms:modified>
</cp:coreProperties>
</file>

<file path=docProps/custom.xml><?xml version="1.0" encoding="utf-8"?>
<Properties xmlns="http://schemas.openxmlformats.org/officeDocument/2006/custom-properties" xmlns:vt="http://schemas.openxmlformats.org/officeDocument/2006/docPropsVTypes"/>
</file>