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line="275"/>
      </w:pPr>
      <w:r>
        <w:rPr>
          <w:rFonts w:ascii="Avenir Next" w:cs="Avenir Next" w:eastAsia="Avenir Next" w:hAnsi="Avenir Next"/>
          <w:color w:val="5A6474"/>
          <w:sz w:val="17"/>
          <w:szCs w:val="17"/>
        </w:rPr>
        <w:t xml:space="preserve">September 2026</w:t>
      </w:r>
    </w:p>
    <w:p>
      <w:pPr>
        <w:spacing w:after="200" w:line="275"/>
      </w:pPr>
      <w:r>
        <w:rPr>
          <w:rFonts w:ascii="Avenir Next" w:cs="Avenir Next" w:eastAsia="Avenir Next" w:hAnsi="Avenir Next"/>
          <w:color w:val="5A6474"/>
          <w:sz w:val="17"/>
          <w:szCs w:val="17"/>
        </w:rPr>
        <w:t xml:space="preserve">Sample client report — Hosted Companies Ltd. Client identity withheld; figures are real.</w:t>
      </w:r>
    </w:p>
    <w:p>
      <w:pPr>
        <w:spacing w:after="160" w:before="80"/>
      </w:pPr>
      <w:r>
        <w:rPr>
          <w:rFonts w:ascii="Avenir Next" w:cs="Avenir Next" w:eastAsia="Avenir Next" w:hAnsi="Avenir Next"/>
          <w:b/>
          <w:bCs/>
          <w:color w:val="1B2A44"/>
          <w:sz w:val="34"/>
          <w:szCs w:val="34"/>
        </w:rPr>
        <w:t xml:space="preserve">Website review — outcome: a touring big band’s site, rebuilt</w:t>
      </w:r>
    </w:p>
    <w:p>
      <w:pPr>
        <w:spacing w:after="110" w:line="275"/>
      </w:pPr>
      <w:r>
        <w:rPr>
          <w:rFonts w:ascii="Avenir Next" w:cs="Avenir Next" w:eastAsia="Avenir Next" w:hAnsi="Avenir Next"/>
          <w:color w:val="1B2A44"/>
          <w:sz w:val="21"/>
          <w:szCs w:val="21"/>
        </w:rPr>
        <w:t xml:space="preserve">The client is a long-established touring big band whose website is maintained by a volunteer-run supporters’ club. We reviewed the existing WordPress site, rebuilt it as a static site, and re-tested every finding against the rebuild on our staging environment. This document shows each original finding and how it was dealt with. Where an item is still in hand, it has a plan rather than an open question.</w:t>
      </w:r>
    </w:p>
    <w:p>
      <w:pPr>
        <w:pBdr>
          <w:bottom w:val="single" w:color="D9DEE7" w:sz="4" w:space="4"/>
        </w:pBdr>
        <w:spacing w:after="110" w:before="300"/>
      </w:pPr>
      <w:r>
        <w:rPr>
          <w:rFonts w:ascii="Avenir Next" w:cs="Avenir Next" w:eastAsia="Avenir Next" w:hAnsi="Avenir Next"/>
          <w:b/>
          <w:bCs/>
          <w:color w:val="1B2A44"/>
          <w:sz w:val="25"/>
          <w:szCs w:val="25"/>
        </w:rPr>
        <w:t xml:space="preserve">Summary</w:t>
      </w:r>
    </w:p>
    <w:p>
      <w:pPr>
        <w:spacing w:after="110" w:line="275"/>
      </w:pPr>
      <w:r>
        <w:rPr>
          <w:rFonts w:ascii="Avenir Next" w:cs="Avenir Next" w:eastAsia="Avenir Next" w:hAnsi="Avenir Next"/>
          <w:color w:val="1B2A44"/>
          <w:sz w:val="21"/>
          <w:szCs w:val="21"/>
        </w:rPr>
        <w:t xml:space="preserve">Every finding from the original review is either fixed on the rebuild, in progress under an agreed plan, or waiting on something only the client can supply. The rebuild is a static site: no WordPress, no plugins, no analytics, nothing to keep patched. The home page now loads in under half a second with 21 requests and 169 kB, against 4.6 seconds, 97 requests and a slow server before. Spelling, typography, headings, mobile zoom, sharing previews, legal pages and the broken menu links are all resolved.</w:t>
      </w:r>
    </w:p>
    <w:p>
      <w:pPr>
        <w:pBdr>
          <w:bottom w:val="single" w:color="D9DEE7" w:sz="4" w:space="4"/>
        </w:pBdr>
        <w:spacing w:after="110" w:before="300"/>
      </w:pPr>
      <w:r>
        <w:rPr>
          <w:rFonts w:ascii="Avenir Next" w:cs="Avenir Next" w:eastAsia="Avenir Next" w:hAnsi="Avenir Next"/>
          <w:b/>
          <w:bCs/>
          <w:color w:val="1B2A44"/>
          <w:sz w:val="25"/>
          <w:szCs w:val="25"/>
        </w:rPr>
        <w:t xml:space="preserve">1. Content and functionality</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400"/>
        <w:gridCol w:w="3700"/>
        <w:gridCol w:w="3900"/>
      </w:tblGrid>
      <w:tr>
        <w:trPr>
          <w:tblHeader/>
        </w:trPr>
        <w:tc>
          <w:tcPr>
            <w:tcW w:type="dxa" w:w="1400"/>
            <w:tcBorders>
              <w:top w:val="single" w:color="D9DEE7" w:sz="4"/>
              <w:left w:val="none" w:color="FFFFFF" w:sz="0"/>
              <w:bottom w:val="single" w:color="D9DEE7" w:sz="4"/>
              <w:right w:val="none" w:color="FFFFFF" w:sz="0"/>
            </w:tcBorders>
            <w:shd w:fill="F2F4F8" w:color="auto" w:val="clear"/>
            <w:tcMar>
              <w:top w:type="dxa" w:w="60"/>
              <w:left w:type="dxa" w:w="110"/>
              <w:bottom w:type="dxa" w:w="60"/>
              <w:right w:type="dxa" w:w="110"/>
            </w:tcMar>
          </w:tcPr>
          <w:p>
            <w:pPr>
              <w:spacing w:after="0"/>
            </w:pPr>
            <w:r>
              <w:rPr>
                <w:rFonts w:ascii="Avenir Next" w:cs="Avenir Next" w:eastAsia="Avenir Next" w:hAnsi="Avenir Next"/>
                <w:b/>
                <w:bCs/>
                <w:color w:val="1B2A44"/>
                <w:sz w:val="18"/>
                <w:szCs w:val="18"/>
              </w:rPr>
              <w:t xml:space="preserve">Area</w:t>
            </w:r>
          </w:p>
        </w:tc>
        <w:tc>
          <w:tcPr>
            <w:tcW w:type="dxa" w:w="3700"/>
            <w:tcBorders>
              <w:top w:val="single" w:color="D9DEE7" w:sz="4"/>
              <w:left w:val="none" w:color="FFFFFF" w:sz="0"/>
              <w:bottom w:val="single" w:color="D9DEE7" w:sz="4"/>
              <w:right w:val="none" w:color="FFFFFF" w:sz="0"/>
            </w:tcBorders>
            <w:shd w:fill="F2F4F8" w:color="auto" w:val="clear"/>
            <w:tcMar>
              <w:top w:type="dxa" w:w="60"/>
              <w:left w:type="dxa" w:w="110"/>
              <w:bottom w:type="dxa" w:w="60"/>
              <w:right w:type="dxa" w:w="110"/>
            </w:tcMar>
          </w:tcPr>
          <w:p>
            <w:pPr>
              <w:spacing w:after="0"/>
            </w:pPr>
            <w:r>
              <w:rPr>
                <w:rFonts w:ascii="Avenir Next" w:cs="Avenir Next" w:eastAsia="Avenir Next" w:hAnsi="Avenir Next"/>
                <w:b/>
                <w:bCs/>
                <w:color w:val="1B2A44"/>
                <w:sz w:val="18"/>
                <w:szCs w:val="18"/>
              </w:rPr>
              <w:t xml:space="preserve">Original finding</w:t>
            </w:r>
          </w:p>
        </w:tc>
        <w:tc>
          <w:tcPr>
            <w:tcW w:type="dxa" w:w="3900"/>
            <w:tcBorders>
              <w:top w:val="single" w:color="D9DEE7" w:sz="4"/>
              <w:left w:val="none" w:color="FFFFFF" w:sz="0"/>
              <w:bottom w:val="single" w:color="D9DEE7" w:sz="4"/>
              <w:right w:val="none" w:color="FFFFFF" w:sz="0"/>
            </w:tcBorders>
            <w:shd w:fill="F2F4F8" w:color="auto" w:val="clear"/>
            <w:tcMar>
              <w:top w:type="dxa" w:w="60"/>
              <w:left w:type="dxa" w:w="110"/>
              <w:bottom w:type="dxa" w:w="60"/>
              <w:right w:type="dxa" w:w="110"/>
            </w:tcMar>
          </w:tcPr>
          <w:p>
            <w:pPr>
              <w:spacing w:after="0"/>
            </w:pPr>
            <w:r>
              <w:rPr>
                <w:rFonts w:ascii="Avenir Next" w:cs="Avenir Next" w:eastAsia="Avenir Next" w:hAnsi="Avenir Next"/>
                <w:b/>
                <w:bCs/>
                <w:color w:val="1B2A44"/>
                <w:sz w:val="18"/>
                <w:szCs w:val="18"/>
              </w:rPr>
              <w:t xml:space="preserve">Rebuild</w:t>
            </w:r>
          </w:p>
        </w:tc>
      </w:tr>
      <w:tr>
        <w:tc>
          <w:tcPr>
            <w:tcW w:type="dxa" w:w="1400"/>
            <w:tcBorders>
              <w:top w:val="single" w:color="D9DEE7" w:sz="4"/>
              <w:left w:val="none" w:color="FFFFFF" w:sz="0"/>
              <w:bottom w:val="single" w:color="D9DEE7" w:sz="4"/>
              <w:right w:val="none" w:color="FFFFFF" w:sz="0"/>
            </w:tcBorders>
            <w:tcMar>
              <w:top w:type="dxa" w:w="60"/>
              <w:left w:type="dxa" w:w="110"/>
              <w:bottom w:type="dxa" w:w="60"/>
              <w:right w:type="dxa" w:w="110"/>
            </w:tcMar>
          </w:tcPr>
          <w:p>
            <w:pPr>
              <w:spacing w:after="0"/>
            </w:pPr>
            <w:r>
              <w:rPr>
                <w:rFonts w:ascii="Avenir Next" w:cs="Avenir Next" w:eastAsia="Avenir Next" w:hAnsi="Avenir Next"/>
                <w:b w:val="false"/>
                <w:bCs w:val="false"/>
                <w:color w:val="1B2A44"/>
                <w:sz w:val="18"/>
                <w:szCs w:val="18"/>
              </w:rPr>
              <w:t xml:space="preserve">Concerts</w:t>
            </w:r>
          </w:p>
        </w:tc>
        <w:tc>
          <w:tcPr>
            <w:tcW w:type="dxa" w:w="3700"/>
            <w:tcBorders>
              <w:top w:val="single" w:color="D9DEE7" w:sz="4"/>
              <w:left w:val="none" w:color="FFFFFF" w:sz="0"/>
              <w:bottom w:val="single" w:color="D9DEE7" w:sz="4"/>
              <w:right w:val="none" w:color="FFFFFF" w:sz="0"/>
            </w:tcBorders>
            <w:tcMar>
              <w:top w:type="dxa" w:w="60"/>
              <w:left w:type="dxa" w:w="110"/>
              <w:bottom w:type="dxa" w:w="60"/>
              <w:right w:type="dxa" w:w="110"/>
            </w:tcMar>
          </w:tcPr>
          <w:p>
            <w:pPr>
              <w:spacing w:after="0"/>
            </w:pPr>
            <w:r>
              <w:rPr>
                <w:rFonts w:ascii="Avenir Next" w:cs="Avenir Next" w:eastAsia="Avenir Next" w:hAnsi="Avenir Next"/>
                <w:b w:val="false"/>
                <w:bCs w:val="false"/>
                <w:color w:val="1B2A44"/>
                <w:sz w:val="18"/>
                <w:szCs w:val="18"/>
              </w:rPr>
              <w:t xml:space="preserve">Events page showed “NO EVENTS” for 25 months.</w:t>
            </w:r>
          </w:p>
        </w:tc>
        <w:tc>
          <w:tcPr>
            <w:tcW w:type="dxa" w:w="3900"/>
            <w:tcBorders>
              <w:top w:val="single" w:color="D9DEE7" w:sz="4"/>
              <w:left w:val="none" w:color="FFFFFF" w:sz="0"/>
              <w:bottom w:val="single" w:color="D9DEE7" w:sz="4"/>
              <w:right w:val="none" w:color="FFFFFF" w:sz="0"/>
            </w:tcBorders>
            <w:tcMar>
              <w:top w:type="dxa" w:w="60"/>
              <w:left w:type="dxa" w:w="110"/>
              <w:bottom w:type="dxa" w:w="60"/>
              <w:right w:type="dxa" w:w="110"/>
            </w:tcMar>
          </w:tcPr>
          <w:p>
            <w:pPr>
              <w:spacing w:after="0"/>
            </w:pPr>
            <w:r>
              <w:rPr>
                <w:rFonts w:ascii="Avenir Next" w:cs="Avenir Next" w:eastAsia="Avenir Next" w:hAnsi="Avenir Next"/>
                <w:b/>
                <w:bCs/>
                <w:color w:val="1F4E9C"/>
                <w:sz w:val="18"/>
                <w:szCs w:val="18"/>
              </w:rPr>
              <w:t xml:space="preserve">In progress — planned. </w:t>
            </w:r>
            <w:r>
              <w:rPr>
                <w:rFonts w:ascii="Avenir Next" w:cs="Avenir Next" w:eastAsia="Avenir Next" w:hAnsi="Avenir Next"/>
                <w:color w:val="1B2A44"/>
                <w:sz w:val="18"/>
                <w:szCs w:val="18"/>
              </w:rPr>
              <w:t xml:space="preserve">The concert calendar is being delivered through Music Is Life, where the client maintains dates in one place and the site displays them automatically. Until the widget ships, the page is deliberately absent rather than empty.</w:t>
            </w:r>
          </w:p>
        </w:tc>
      </w:tr>
      <w:tr>
        <w:tc>
          <w:tcPr>
            <w:tcW w:type="dxa" w:w="1400"/>
            <w:tcBorders>
              <w:top w:val="single" w:color="D9DEE7" w:sz="4"/>
              <w:left w:val="none" w:color="FFFFFF" w:sz="0"/>
              <w:bottom w:val="single" w:color="D9DEE7" w:sz="4"/>
              <w:right w:val="none" w:color="FFFFFF" w:sz="0"/>
            </w:tcBorders>
            <w:tcMar>
              <w:top w:type="dxa" w:w="60"/>
              <w:left w:type="dxa" w:w="110"/>
              <w:bottom w:type="dxa" w:w="60"/>
              <w:right w:type="dxa" w:w="110"/>
            </w:tcMar>
          </w:tcPr>
          <w:p>
            <w:pPr>
              <w:spacing w:after="0"/>
            </w:pPr>
            <w:r>
              <w:rPr>
                <w:rFonts w:ascii="Avenir Next" w:cs="Avenir Next" w:eastAsia="Avenir Next" w:hAnsi="Avenir Next"/>
                <w:b w:val="false"/>
                <w:bCs w:val="false"/>
                <w:color w:val="1B2A44"/>
                <w:sz w:val="18"/>
                <w:szCs w:val="18"/>
              </w:rPr>
              <w:t xml:space="preserve">Navigation</w:t>
            </w:r>
          </w:p>
        </w:tc>
        <w:tc>
          <w:tcPr>
            <w:tcW w:type="dxa" w:w="3700"/>
            <w:tcBorders>
              <w:top w:val="single" w:color="D9DEE7" w:sz="4"/>
              <w:left w:val="none" w:color="FFFFFF" w:sz="0"/>
              <w:bottom w:val="single" w:color="D9DEE7" w:sz="4"/>
              <w:right w:val="none" w:color="FFFFFF" w:sz="0"/>
            </w:tcBorders>
            <w:tcMar>
              <w:top w:type="dxa" w:w="60"/>
              <w:left w:type="dxa" w:w="110"/>
              <w:bottom w:type="dxa" w:w="60"/>
              <w:right w:type="dxa" w:w="110"/>
            </w:tcMar>
          </w:tcPr>
          <w:p>
            <w:pPr>
              <w:spacing w:after="0"/>
            </w:pPr>
            <w:r>
              <w:rPr>
                <w:rFonts w:ascii="Avenir Next" w:cs="Avenir Next" w:eastAsia="Avenir Next" w:hAnsi="Avenir Next"/>
                <w:b w:val="false"/>
                <w:bCs w:val="false"/>
                <w:color w:val="1B2A44"/>
                <w:sz w:val="18"/>
                <w:szCs w:val="18"/>
              </w:rPr>
              <w:t xml:space="preserve">Two band-member profile links in the main menu returned 404.</w:t>
            </w:r>
          </w:p>
        </w:tc>
        <w:tc>
          <w:tcPr>
            <w:tcW w:type="dxa" w:w="3900"/>
            <w:tcBorders>
              <w:top w:val="single" w:color="D9DEE7" w:sz="4"/>
              <w:left w:val="none" w:color="FFFFFF" w:sz="0"/>
              <w:bottom w:val="single" w:color="D9DEE7" w:sz="4"/>
              <w:right w:val="none" w:color="FFFFFF" w:sz="0"/>
            </w:tcBorders>
            <w:tcMar>
              <w:top w:type="dxa" w:w="60"/>
              <w:left w:type="dxa" w:w="110"/>
              <w:bottom w:type="dxa" w:w="60"/>
              <w:right w:type="dxa" w:w="110"/>
            </w:tcMar>
          </w:tcPr>
          <w:p>
            <w:pPr>
              <w:spacing w:after="0"/>
            </w:pPr>
            <w:r>
              <w:rPr>
                <w:rFonts w:ascii="Avenir Next" w:cs="Avenir Next" w:eastAsia="Avenir Next" w:hAnsi="Avenir Next"/>
                <w:b/>
                <w:bCs/>
                <w:color w:val="7A9A1A"/>
                <w:sz w:val="18"/>
                <w:szCs w:val="18"/>
              </w:rPr>
              <w:t xml:space="preserve">Fixed. </w:t>
            </w:r>
            <w:r>
              <w:rPr>
                <w:rFonts w:ascii="Avenir Next" w:cs="Avenir Next" w:eastAsia="Avenir Next" w:hAnsi="Avenir Next"/>
                <w:color w:val="1B2A44"/>
                <w:sz w:val="18"/>
                <w:szCs w:val="18"/>
              </w:rPr>
              <w:t xml:space="preserve">Removed; two current members added with correct addresses; the old addresses redirect.</w:t>
            </w:r>
          </w:p>
        </w:tc>
      </w:tr>
      <w:tr>
        <w:tc>
          <w:tcPr>
            <w:tcW w:type="dxa" w:w="1400"/>
            <w:tcBorders>
              <w:top w:val="single" w:color="D9DEE7" w:sz="4"/>
              <w:left w:val="none" w:color="FFFFFF" w:sz="0"/>
              <w:bottom w:val="single" w:color="D9DEE7" w:sz="4"/>
              <w:right w:val="none" w:color="FFFFFF" w:sz="0"/>
            </w:tcBorders>
            <w:tcMar>
              <w:top w:type="dxa" w:w="60"/>
              <w:left w:type="dxa" w:w="110"/>
              <w:bottom w:type="dxa" w:w="60"/>
              <w:right w:type="dxa" w:w="110"/>
            </w:tcMar>
          </w:tcPr>
          <w:p>
            <w:pPr>
              <w:spacing w:after="0"/>
            </w:pPr>
            <w:r>
              <w:rPr>
                <w:rFonts w:ascii="Avenir Next" w:cs="Avenir Next" w:eastAsia="Avenir Next" w:hAnsi="Avenir Next"/>
                <w:b w:val="false"/>
                <w:bCs w:val="false"/>
                <w:color w:val="1B2A44"/>
                <w:sz w:val="18"/>
                <w:szCs w:val="18"/>
              </w:rPr>
              <w:t xml:space="preserve">Navigation</w:t>
            </w:r>
          </w:p>
        </w:tc>
        <w:tc>
          <w:tcPr>
            <w:tcW w:type="dxa" w:w="3700"/>
            <w:tcBorders>
              <w:top w:val="single" w:color="D9DEE7" w:sz="4"/>
              <w:left w:val="none" w:color="FFFFFF" w:sz="0"/>
              <w:bottom w:val="single" w:color="D9DEE7" w:sz="4"/>
              <w:right w:val="none" w:color="FFFFFF" w:sz="0"/>
            </w:tcBorders>
            <w:tcMar>
              <w:top w:type="dxa" w:w="60"/>
              <w:left w:type="dxa" w:w="110"/>
              <w:bottom w:type="dxa" w:w="60"/>
              <w:right w:type="dxa" w:w="110"/>
            </w:tcMar>
          </w:tcPr>
          <w:p>
            <w:pPr>
              <w:spacing w:after="0"/>
            </w:pPr>
            <w:r>
              <w:rPr>
                <w:rFonts w:ascii="Avenir Next" w:cs="Avenir Next" w:eastAsia="Avenir Next" w:hAnsi="Avenir Next"/>
                <w:b w:val="false"/>
                <w:bCs w:val="false"/>
                <w:color w:val="1B2A44"/>
                <w:sz w:val="18"/>
                <w:szCs w:val="18"/>
              </w:rPr>
              <w:t xml:space="preserve">Menu item misspelled; its page had no title and a numeric URL.</w:t>
            </w:r>
          </w:p>
        </w:tc>
        <w:tc>
          <w:tcPr>
            <w:tcW w:type="dxa" w:w="3900"/>
            <w:tcBorders>
              <w:top w:val="single" w:color="D9DEE7" w:sz="4"/>
              <w:left w:val="none" w:color="FFFFFF" w:sz="0"/>
              <w:bottom w:val="single" w:color="D9DEE7" w:sz="4"/>
              <w:right w:val="none" w:color="FFFFFF" w:sz="0"/>
            </w:tcBorders>
            <w:tcMar>
              <w:top w:type="dxa" w:w="60"/>
              <w:left w:type="dxa" w:w="110"/>
              <w:bottom w:type="dxa" w:w="60"/>
              <w:right w:type="dxa" w:w="110"/>
            </w:tcMar>
          </w:tcPr>
          <w:p>
            <w:pPr>
              <w:spacing w:after="0"/>
            </w:pPr>
            <w:r>
              <w:rPr>
                <w:rFonts w:ascii="Avenir Next" w:cs="Avenir Next" w:eastAsia="Avenir Next" w:hAnsi="Avenir Next"/>
                <w:b/>
                <w:bCs/>
                <w:color w:val="7A9A1A"/>
                <w:sz w:val="18"/>
                <w:szCs w:val="18"/>
              </w:rPr>
              <w:t xml:space="preserve">Fixed. </w:t>
            </w:r>
            <w:r>
              <w:rPr>
                <w:rFonts w:ascii="Avenir Next" w:cs="Avenir Next" w:eastAsia="Avenir Next" w:hAnsi="Avenir Next"/>
                <w:color w:val="1B2A44"/>
                <w:sz w:val="18"/>
                <w:szCs w:val="18"/>
              </w:rPr>
              <w:t xml:space="preserve">Spelled correctly on a readable URL with a proper title.</w:t>
            </w:r>
          </w:p>
        </w:tc>
      </w:tr>
      <w:tr>
        <w:tc>
          <w:tcPr>
            <w:tcW w:type="dxa" w:w="1400"/>
            <w:tcBorders>
              <w:top w:val="single" w:color="D9DEE7" w:sz="4"/>
              <w:left w:val="none" w:color="FFFFFF" w:sz="0"/>
              <w:bottom w:val="single" w:color="D9DEE7" w:sz="4"/>
              <w:right w:val="none" w:color="FFFFFF" w:sz="0"/>
            </w:tcBorders>
            <w:tcMar>
              <w:top w:type="dxa" w:w="60"/>
              <w:left w:type="dxa" w:w="110"/>
              <w:bottom w:type="dxa" w:w="60"/>
              <w:right w:type="dxa" w:w="110"/>
            </w:tcMar>
          </w:tcPr>
          <w:p>
            <w:pPr>
              <w:spacing w:after="0"/>
            </w:pPr>
            <w:r>
              <w:rPr>
                <w:rFonts w:ascii="Avenir Next" w:cs="Avenir Next" w:eastAsia="Avenir Next" w:hAnsi="Avenir Next"/>
                <w:b w:val="false"/>
                <w:bCs w:val="false"/>
                <w:color w:val="1B2A44"/>
                <w:sz w:val="18"/>
                <w:szCs w:val="18"/>
              </w:rPr>
              <w:t xml:space="preserve">Footer</w:t>
            </w:r>
          </w:p>
        </w:tc>
        <w:tc>
          <w:tcPr>
            <w:tcW w:type="dxa" w:w="3700"/>
            <w:tcBorders>
              <w:top w:val="single" w:color="D9DEE7" w:sz="4"/>
              <w:left w:val="none" w:color="FFFFFF" w:sz="0"/>
              <w:bottom w:val="single" w:color="D9DEE7" w:sz="4"/>
              <w:right w:val="none" w:color="FFFFFF" w:sz="0"/>
            </w:tcBorders>
            <w:tcMar>
              <w:top w:type="dxa" w:w="60"/>
              <w:left w:type="dxa" w:w="110"/>
              <w:bottom w:type="dxa" w:w="60"/>
              <w:right w:type="dxa" w:w="110"/>
            </w:tcMar>
          </w:tcPr>
          <w:p>
            <w:pPr>
              <w:spacing w:after="0"/>
            </w:pPr>
            <w:r>
              <w:rPr>
                <w:rFonts w:ascii="Avenir Next" w:cs="Avenir Next" w:eastAsia="Avenir Next" w:hAnsi="Avenir Next"/>
                <w:b w:val="false"/>
                <w:bCs w:val="false"/>
                <w:color w:val="1B2A44"/>
                <w:sz w:val="18"/>
                <w:szCs w:val="18"/>
              </w:rPr>
              <w:t xml:space="preserve">“Terms &amp; Conditions” linked to a cookie policy; no privacy policy.</w:t>
            </w:r>
          </w:p>
        </w:tc>
        <w:tc>
          <w:tcPr>
            <w:tcW w:type="dxa" w:w="3900"/>
            <w:tcBorders>
              <w:top w:val="single" w:color="D9DEE7" w:sz="4"/>
              <w:left w:val="none" w:color="FFFFFF" w:sz="0"/>
              <w:bottom w:val="single" w:color="D9DEE7" w:sz="4"/>
              <w:right w:val="none" w:color="FFFFFF" w:sz="0"/>
            </w:tcBorders>
            <w:tcMar>
              <w:top w:type="dxa" w:w="60"/>
              <w:left w:type="dxa" w:w="110"/>
              <w:bottom w:type="dxa" w:w="60"/>
              <w:right w:type="dxa" w:w="110"/>
            </w:tcMar>
          </w:tcPr>
          <w:p>
            <w:pPr>
              <w:spacing w:after="0"/>
            </w:pPr>
            <w:r>
              <w:rPr>
                <w:rFonts w:ascii="Avenir Next" w:cs="Avenir Next" w:eastAsia="Avenir Next" w:hAnsi="Avenir Next"/>
                <w:b/>
                <w:bCs/>
                <w:color w:val="7A9A1A"/>
                <w:sz w:val="18"/>
                <w:szCs w:val="18"/>
              </w:rPr>
              <w:t xml:space="preserve">Fixed. </w:t>
            </w:r>
            <w:r>
              <w:rPr>
                <w:rFonts w:ascii="Avenir Next" w:cs="Avenir Next" w:eastAsia="Avenir Next" w:hAnsi="Avenir Next"/>
                <w:color w:val="1B2A44"/>
                <w:sz w:val="18"/>
                <w:szCs w:val="18"/>
              </w:rPr>
              <w:t xml:space="preserve">Separate Privacy Policy, Cookie Policy and Terms &amp; Conditions pages.</w:t>
            </w:r>
          </w:p>
        </w:tc>
      </w:tr>
      <w:tr>
        <w:tc>
          <w:tcPr>
            <w:tcW w:type="dxa" w:w="1400"/>
            <w:tcBorders>
              <w:top w:val="single" w:color="D9DEE7" w:sz="4"/>
              <w:left w:val="none" w:color="FFFFFF" w:sz="0"/>
              <w:bottom w:val="single" w:color="D9DEE7" w:sz="4"/>
              <w:right w:val="none" w:color="FFFFFF" w:sz="0"/>
            </w:tcBorders>
            <w:tcMar>
              <w:top w:type="dxa" w:w="60"/>
              <w:left w:type="dxa" w:w="110"/>
              <w:bottom w:type="dxa" w:w="60"/>
              <w:right w:type="dxa" w:w="110"/>
            </w:tcMar>
          </w:tcPr>
          <w:p>
            <w:pPr>
              <w:spacing w:after="0"/>
            </w:pPr>
            <w:r>
              <w:rPr>
                <w:rFonts w:ascii="Avenir Next" w:cs="Avenir Next" w:eastAsia="Avenir Next" w:hAnsi="Avenir Next"/>
                <w:b w:val="false"/>
                <w:bCs w:val="false"/>
                <w:color w:val="1B2A44"/>
                <w:sz w:val="18"/>
                <w:szCs w:val="18"/>
              </w:rPr>
              <w:t xml:space="preserve">Booking contact</w:t>
            </w:r>
          </w:p>
        </w:tc>
        <w:tc>
          <w:tcPr>
            <w:tcW w:type="dxa" w:w="3700"/>
            <w:tcBorders>
              <w:top w:val="single" w:color="D9DEE7" w:sz="4"/>
              <w:left w:val="none" w:color="FFFFFF" w:sz="0"/>
              <w:bottom w:val="single" w:color="D9DEE7" w:sz="4"/>
              <w:right w:val="none" w:color="FFFFFF" w:sz="0"/>
            </w:tcBorders>
            <w:tcMar>
              <w:top w:type="dxa" w:w="60"/>
              <w:left w:type="dxa" w:w="110"/>
              <w:bottom w:type="dxa" w:w="60"/>
              <w:right w:type="dxa" w:w="110"/>
            </w:tcMar>
          </w:tcPr>
          <w:p>
            <w:pPr>
              <w:spacing w:after="0"/>
            </w:pPr>
            <w:r>
              <w:rPr>
                <w:rFonts w:ascii="Avenir Next" w:cs="Avenir Next" w:eastAsia="Avenir Next" w:hAnsi="Avenir Next"/>
                <w:b w:val="false"/>
                <w:bCs w:val="false"/>
                <w:color w:val="1B2A44"/>
                <w:sz w:val="18"/>
                <w:szCs w:val="18"/>
              </w:rPr>
              <w:t xml:space="preserve">Bookings routed to a personal webmail address and a mobile number; enquiry forms on reCAPTCHA v2.</w:t>
            </w:r>
          </w:p>
        </w:tc>
        <w:tc>
          <w:tcPr>
            <w:tcW w:type="dxa" w:w="3900"/>
            <w:tcBorders>
              <w:top w:val="single" w:color="D9DEE7" w:sz="4"/>
              <w:left w:val="none" w:color="FFFFFF" w:sz="0"/>
              <w:bottom w:val="single" w:color="D9DEE7" w:sz="4"/>
              <w:right w:val="none" w:color="FFFFFF" w:sz="0"/>
            </w:tcBorders>
            <w:tcMar>
              <w:top w:type="dxa" w:w="60"/>
              <w:left w:type="dxa" w:w="110"/>
              <w:bottom w:type="dxa" w:w="60"/>
              <w:right w:type="dxa" w:w="110"/>
            </w:tcMar>
          </w:tcPr>
          <w:p>
            <w:pPr>
              <w:spacing w:after="0"/>
            </w:pPr>
            <w:r>
              <w:rPr>
                <w:rFonts w:ascii="Avenir Next" w:cs="Avenir Next" w:eastAsia="Avenir Next" w:hAnsi="Avenir Next"/>
                <w:b/>
                <w:bCs/>
                <w:color w:val="1F4E9C"/>
                <w:sz w:val="18"/>
                <w:szCs w:val="18"/>
              </w:rPr>
              <w:t xml:space="preserve">In progress — planned. </w:t>
            </w:r>
            <w:r>
              <w:rPr>
                <w:rFonts w:ascii="Avenir Next" w:cs="Avenir Next" w:eastAsia="Avenir Next" w:hAnsi="Avenir Next"/>
                <w:color w:val="1B2A44"/>
                <w:sz w:val="18"/>
                <w:szCs w:val="18"/>
              </w:rPr>
              <w:t xml:space="preserve">Contact details, the enquiry form and its spam protection (Turnstile) are being replaced together with a role address on the client’s domain. Existing plan; the current details remain live until the switch.</w:t>
            </w:r>
          </w:p>
        </w:tc>
      </w:tr>
      <w:tr>
        <w:tc>
          <w:tcPr>
            <w:tcW w:type="dxa" w:w="1400"/>
            <w:tcBorders>
              <w:top w:val="single" w:color="D9DEE7" w:sz="4"/>
              <w:left w:val="none" w:color="FFFFFF" w:sz="0"/>
              <w:bottom w:val="single" w:color="D9DEE7" w:sz="4"/>
              <w:right w:val="none" w:color="FFFFFF" w:sz="0"/>
            </w:tcBorders>
            <w:tcMar>
              <w:top w:type="dxa" w:w="60"/>
              <w:left w:type="dxa" w:w="110"/>
              <w:bottom w:type="dxa" w:w="60"/>
              <w:right w:type="dxa" w:w="110"/>
            </w:tcMar>
          </w:tcPr>
          <w:p>
            <w:pPr>
              <w:spacing w:after="0"/>
            </w:pPr>
            <w:r>
              <w:rPr>
                <w:rFonts w:ascii="Avenir Next" w:cs="Avenir Next" w:eastAsia="Avenir Next" w:hAnsi="Avenir Next"/>
                <w:b w:val="false"/>
                <w:bCs w:val="false"/>
                <w:color w:val="1B2A44"/>
                <w:sz w:val="18"/>
                <w:szCs w:val="18"/>
              </w:rPr>
              <w:t xml:space="preserve">Private events page</w:t>
            </w:r>
          </w:p>
        </w:tc>
        <w:tc>
          <w:tcPr>
            <w:tcW w:type="dxa" w:w="3700"/>
            <w:tcBorders>
              <w:top w:val="single" w:color="D9DEE7" w:sz="4"/>
              <w:left w:val="none" w:color="FFFFFF" w:sz="0"/>
              <w:bottom w:val="single" w:color="D9DEE7" w:sz="4"/>
              <w:right w:val="none" w:color="FFFFFF" w:sz="0"/>
            </w:tcBorders>
            <w:tcMar>
              <w:top w:type="dxa" w:w="60"/>
              <w:left w:type="dxa" w:w="110"/>
              <w:bottom w:type="dxa" w:w="60"/>
              <w:right w:type="dxa" w:w="110"/>
            </w:tcMar>
          </w:tcPr>
          <w:p>
            <w:pPr>
              <w:spacing w:after="0"/>
            </w:pPr>
            <w:r>
              <w:rPr>
                <w:rFonts w:ascii="Avenir Next" w:cs="Avenir Next" w:eastAsia="Avenir Next" w:hAnsi="Avenir Next"/>
                <w:b w:val="false"/>
                <w:bCs w:val="false"/>
                <w:color w:val="1B2A44"/>
                <w:sz w:val="18"/>
                <w:szCs w:val="18"/>
              </w:rPr>
              <w:t xml:space="preserve">Lockdown-era copy.</w:t>
            </w:r>
          </w:p>
        </w:tc>
        <w:tc>
          <w:tcPr>
            <w:tcW w:type="dxa" w:w="3900"/>
            <w:tcBorders>
              <w:top w:val="single" w:color="D9DEE7" w:sz="4"/>
              <w:left w:val="none" w:color="FFFFFF" w:sz="0"/>
              <w:bottom w:val="single" w:color="D9DEE7" w:sz="4"/>
              <w:right w:val="none" w:color="FFFFFF" w:sz="0"/>
            </w:tcBorders>
            <w:tcMar>
              <w:top w:type="dxa" w:w="60"/>
              <w:left w:type="dxa" w:w="110"/>
              <w:bottom w:type="dxa" w:w="60"/>
              <w:right w:type="dxa" w:w="110"/>
            </w:tcMar>
          </w:tcPr>
          <w:p>
            <w:pPr>
              <w:spacing w:after="0"/>
            </w:pPr>
            <w:r>
              <w:rPr>
                <w:rFonts w:ascii="Avenir Next" w:cs="Avenir Next" w:eastAsia="Avenir Next" w:hAnsi="Avenir Next"/>
                <w:b/>
                <w:bCs/>
                <w:color w:val="7A9A1A"/>
                <w:sz w:val="18"/>
                <w:szCs w:val="18"/>
              </w:rPr>
              <w:t xml:space="preserve">Fixed. </w:t>
            </w:r>
            <w:r>
              <w:rPr>
                <w:rFonts w:ascii="Avenir Next" w:cs="Avenir Next" w:eastAsia="Avenir Next" w:hAnsi="Avenir Next"/>
                <w:color w:val="1B2A44"/>
                <w:sz w:val="18"/>
                <w:szCs w:val="18"/>
              </w:rPr>
              <w:t xml:space="preserve">Rewritten; no lockdown phrasing remains.</w:t>
            </w:r>
          </w:p>
        </w:tc>
      </w:tr>
      <w:tr>
        <w:tc>
          <w:tcPr>
            <w:tcW w:type="dxa" w:w="1400"/>
            <w:tcBorders>
              <w:top w:val="single" w:color="D9DEE7" w:sz="4"/>
              <w:left w:val="none" w:color="FFFFFF" w:sz="0"/>
              <w:bottom w:val="single" w:color="D9DEE7" w:sz="4"/>
              <w:right w:val="none" w:color="FFFFFF" w:sz="0"/>
            </w:tcBorders>
            <w:tcMar>
              <w:top w:type="dxa" w:w="60"/>
              <w:left w:type="dxa" w:w="110"/>
              <w:bottom w:type="dxa" w:w="60"/>
              <w:right w:type="dxa" w:w="110"/>
            </w:tcMar>
          </w:tcPr>
          <w:p>
            <w:pPr>
              <w:spacing w:after="0"/>
            </w:pPr>
            <w:r>
              <w:rPr>
                <w:rFonts w:ascii="Avenir Next" w:cs="Avenir Next" w:eastAsia="Avenir Next" w:hAnsi="Avenir Next"/>
                <w:b w:val="false"/>
                <w:bCs w:val="false"/>
                <w:color w:val="1B2A44"/>
                <w:sz w:val="18"/>
                <w:szCs w:val="18"/>
              </w:rPr>
              <w:t xml:space="preserve">Supporters’ page</w:t>
            </w:r>
          </w:p>
        </w:tc>
        <w:tc>
          <w:tcPr>
            <w:tcW w:type="dxa" w:w="3700"/>
            <w:tcBorders>
              <w:top w:val="single" w:color="D9DEE7" w:sz="4"/>
              <w:left w:val="none" w:color="FFFFFF" w:sz="0"/>
              <w:bottom w:val="single" w:color="D9DEE7" w:sz="4"/>
              <w:right w:val="none" w:color="FFFFFF" w:sz="0"/>
            </w:tcBorders>
            <w:tcMar>
              <w:top w:type="dxa" w:w="60"/>
              <w:left w:type="dxa" w:w="110"/>
              <w:bottom w:type="dxa" w:w="60"/>
              <w:right w:type="dxa" w:w="110"/>
            </w:tcMar>
          </w:tcPr>
          <w:p>
            <w:pPr>
              <w:spacing w:after="0"/>
            </w:pPr>
            <w:r>
              <w:rPr>
                <w:rFonts w:ascii="Avenir Next" w:cs="Avenir Next" w:eastAsia="Avenir Next" w:hAnsi="Avenir Next"/>
                <w:b w:val="false"/>
                <w:bCs w:val="false"/>
                <w:color w:val="1B2A44"/>
                <w:sz w:val="18"/>
                <w:szCs w:val="18"/>
              </w:rPr>
              <w:t xml:space="preserve">Quarterly vs bi-monthly contradiction.</w:t>
            </w:r>
          </w:p>
        </w:tc>
        <w:tc>
          <w:tcPr>
            <w:tcW w:type="dxa" w:w="3900"/>
            <w:tcBorders>
              <w:top w:val="single" w:color="D9DEE7" w:sz="4"/>
              <w:left w:val="none" w:color="FFFFFF" w:sz="0"/>
              <w:bottom w:val="single" w:color="D9DEE7" w:sz="4"/>
              <w:right w:val="none" w:color="FFFFFF" w:sz="0"/>
            </w:tcBorders>
            <w:tcMar>
              <w:top w:type="dxa" w:w="60"/>
              <w:left w:type="dxa" w:w="110"/>
              <w:bottom w:type="dxa" w:w="60"/>
              <w:right w:type="dxa" w:w="110"/>
            </w:tcMar>
          </w:tcPr>
          <w:p>
            <w:pPr>
              <w:spacing w:after="0"/>
            </w:pPr>
            <w:r>
              <w:rPr>
                <w:rFonts w:ascii="Avenir Next" w:cs="Avenir Next" w:eastAsia="Avenir Next" w:hAnsi="Avenir Next"/>
                <w:b/>
                <w:bCs/>
                <w:color w:val="7A9A1A"/>
                <w:sz w:val="18"/>
                <w:szCs w:val="18"/>
              </w:rPr>
              <w:t xml:space="preserve">Fixed. </w:t>
            </w:r>
            <w:r>
              <w:rPr>
                <w:rFonts w:ascii="Avenir Next" w:cs="Avenir Next" w:eastAsia="Avenir Next" w:hAnsi="Avenir Next"/>
                <w:color w:val="1B2A44"/>
                <w:sz w:val="18"/>
                <w:szCs w:val="18"/>
              </w:rPr>
              <w:t xml:space="preserve">Consistent: bi-monthly, six magazines a year.</w:t>
            </w:r>
          </w:p>
        </w:tc>
      </w:tr>
      <w:tr>
        <w:tc>
          <w:tcPr>
            <w:tcW w:type="dxa" w:w="1400"/>
            <w:tcBorders>
              <w:top w:val="single" w:color="D9DEE7" w:sz="4"/>
              <w:left w:val="none" w:color="FFFFFF" w:sz="0"/>
              <w:bottom w:val="single" w:color="D9DEE7" w:sz="4"/>
              <w:right w:val="none" w:color="FFFFFF" w:sz="0"/>
            </w:tcBorders>
            <w:tcMar>
              <w:top w:type="dxa" w:w="60"/>
              <w:left w:type="dxa" w:w="110"/>
              <w:bottom w:type="dxa" w:w="60"/>
              <w:right w:type="dxa" w:w="110"/>
            </w:tcMar>
          </w:tcPr>
          <w:p>
            <w:pPr>
              <w:spacing w:after="0"/>
            </w:pPr>
            <w:r>
              <w:rPr>
                <w:rFonts w:ascii="Avenir Next" w:cs="Avenir Next" w:eastAsia="Avenir Next" w:hAnsi="Avenir Next"/>
                <w:b w:val="false"/>
                <w:bCs w:val="false"/>
                <w:color w:val="1B2A44"/>
                <w:sz w:val="18"/>
                <w:szCs w:val="18"/>
              </w:rPr>
              <w:t xml:space="preserve">Home page</w:t>
            </w:r>
          </w:p>
        </w:tc>
        <w:tc>
          <w:tcPr>
            <w:tcW w:type="dxa" w:w="3700"/>
            <w:tcBorders>
              <w:top w:val="single" w:color="D9DEE7" w:sz="4"/>
              <w:left w:val="none" w:color="FFFFFF" w:sz="0"/>
              <w:bottom w:val="single" w:color="D9DEE7" w:sz="4"/>
              <w:right w:val="none" w:color="FFFFFF" w:sz="0"/>
            </w:tcBorders>
            <w:tcMar>
              <w:top w:type="dxa" w:w="60"/>
              <w:left w:type="dxa" w:w="110"/>
              <w:bottom w:type="dxa" w:w="60"/>
              <w:right w:type="dxa" w:w="110"/>
            </w:tcMar>
          </w:tcPr>
          <w:p>
            <w:pPr>
              <w:spacing w:after="0"/>
            </w:pPr>
            <w:r>
              <w:rPr>
                <w:rFonts w:ascii="Avenir Next" w:cs="Avenir Next" w:eastAsia="Avenir Next" w:hAnsi="Avenir Next"/>
                <w:b w:val="false"/>
                <w:bCs w:val="false"/>
                <w:color w:val="1B2A44"/>
                <w:sz w:val="18"/>
                <w:szCs w:val="18"/>
              </w:rPr>
              <w:t xml:space="preserve">One long scroll for two audiences; the supporters’ club’s internal welcome on the public page.</w:t>
            </w:r>
          </w:p>
        </w:tc>
        <w:tc>
          <w:tcPr>
            <w:tcW w:type="dxa" w:w="3900"/>
            <w:tcBorders>
              <w:top w:val="single" w:color="D9DEE7" w:sz="4"/>
              <w:left w:val="none" w:color="FFFFFF" w:sz="0"/>
              <w:bottom w:val="single" w:color="D9DEE7" w:sz="4"/>
              <w:right w:val="none" w:color="FFFFFF" w:sz="0"/>
            </w:tcBorders>
            <w:tcMar>
              <w:top w:type="dxa" w:w="60"/>
              <w:left w:type="dxa" w:w="110"/>
              <w:bottom w:type="dxa" w:w="60"/>
              <w:right w:type="dxa" w:w="110"/>
            </w:tcMar>
          </w:tcPr>
          <w:p>
            <w:pPr>
              <w:spacing w:after="0"/>
            </w:pPr>
            <w:r>
              <w:rPr>
                <w:rFonts w:ascii="Avenir Next" w:cs="Avenir Next" w:eastAsia="Avenir Next" w:hAnsi="Avenir Next"/>
                <w:b/>
                <w:bCs/>
                <w:color w:val="7A9A1A"/>
                <w:sz w:val="18"/>
                <w:szCs w:val="18"/>
              </w:rPr>
              <w:t xml:space="preserve">Fixed. </w:t>
            </w:r>
            <w:r>
              <w:rPr>
                <w:rFonts w:ascii="Avenir Next" w:cs="Avenir Next" w:eastAsia="Avenir Next" w:hAnsi="Avenir Next"/>
                <w:color w:val="1B2A44"/>
                <w:sz w:val="18"/>
                <w:szCs w:val="18"/>
              </w:rPr>
              <w:t xml:space="preserve">Supporters’ club text trimmed; bandleader intro shortened; testimonials expanded from three to six. Concerts will sit above the video section when the calendar lands.</w:t>
            </w:r>
          </w:p>
        </w:tc>
      </w:tr>
      <w:tr>
        <w:tc>
          <w:tcPr>
            <w:tcW w:type="dxa" w:w="1400"/>
            <w:tcBorders>
              <w:top w:val="single" w:color="D9DEE7" w:sz="4"/>
              <w:left w:val="none" w:color="FFFFFF" w:sz="0"/>
              <w:bottom w:val="single" w:color="D9DEE7" w:sz="4"/>
              <w:right w:val="none" w:color="FFFFFF" w:sz="0"/>
            </w:tcBorders>
            <w:tcMar>
              <w:top w:type="dxa" w:w="60"/>
              <w:left w:type="dxa" w:w="110"/>
              <w:bottom w:type="dxa" w:w="60"/>
              <w:right w:type="dxa" w:w="110"/>
            </w:tcMar>
          </w:tcPr>
          <w:p>
            <w:pPr>
              <w:spacing w:after="0"/>
            </w:pPr>
            <w:r>
              <w:rPr>
                <w:rFonts w:ascii="Avenir Next" w:cs="Avenir Next" w:eastAsia="Avenir Next" w:hAnsi="Avenir Next"/>
                <w:b w:val="false"/>
                <w:bCs w:val="false"/>
                <w:color w:val="1B2A44"/>
                <w:sz w:val="18"/>
                <w:szCs w:val="18"/>
              </w:rPr>
              <w:t xml:space="preserve">Duplication</w:t>
            </w:r>
          </w:p>
        </w:tc>
        <w:tc>
          <w:tcPr>
            <w:tcW w:type="dxa" w:w="3700"/>
            <w:tcBorders>
              <w:top w:val="single" w:color="D9DEE7" w:sz="4"/>
              <w:left w:val="none" w:color="FFFFFF" w:sz="0"/>
              <w:bottom w:val="single" w:color="D9DEE7" w:sz="4"/>
              <w:right w:val="none" w:color="FFFFFF" w:sz="0"/>
            </w:tcBorders>
            <w:tcMar>
              <w:top w:type="dxa" w:w="60"/>
              <w:left w:type="dxa" w:w="110"/>
              <w:bottom w:type="dxa" w:w="60"/>
              <w:right w:type="dxa" w:w="110"/>
            </w:tcMar>
          </w:tcPr>
          <w:p>
            <w:pPr>
              <w:spacing w:after="0"/>
            </w:pPr>
            <w:r>
              <w:rPr>
                <w:rFonts w:ascii="Avenir Next" w:cs="Avenir Next" w:eastAsia="Avenir Next" w:hAnsi="Avenir Next"/>
                <w:b w:val="false"/>
                <w:bCs w:val="false"/>
                <w:color w:val="1B2A44"/>
                <w:sz w:val="18"/>
                <w:szCs w:val="18"/>
              </w:rPr>
              <w:t xml:space="preserve">YouTube description pasted verbatim; quotes repeated.</w:t>
            </w:r>
          </w:p>
        </w:tc>
        <w:tc>
          <w:tcPr>
            <w:tcW w:type="dxa" w:w="3900"/>
            <w:tcBorders>
              <w:top w:val="single" w:color="D9DEE7" w:sz="4"/>
              <w:left w:val="none" w:color="FFFFFF" w:sz="0"/>
              <w:bottom w:val="single" w:color="D9DEE7" w:sz="4"/>
              <w:right w:val="none" w:color="FFFFFF" w:sz="0"/>
            </w:tcBorders>
            <w:tcMar>
              <w:top w:type="dxa" w:w="60"/>
              <w:left w:type="dxa" w:w="110"/>
              <w:bottom w:type="dxa" w:w="60"/>
              <w:right w:type="dxa" w:w="110"/>
            </w:tcMar>
          </w:tcPr>
          <w:p>
            <w:pPr>
              <w:spacing w:after="0"/>
            </w:pPr>
            <w:r>
              <w:rPr>
                <w:rFonts w:ascii="Avenir Next" w:cs="Avenir Next" w:eastAsia="Avenir Next" w:hAnsi="Avenir Next"/>
                <w:b/>
                <w:bCs/>
                <w:color w:val="7A9A1A"/>
                <w:sz w:val="18"/>
                <w:szCs w:val="18"/>
              </w:rPr>
              <w:t xml:space="preserve">Fixed. </w:t>
            </w:r>
            <w:r>
              <w:rPr>
                <w:rFonts w:ascii="Avenir Next" w:cs="Avenir Next" w:eastAsia="Avenir Next" w:hAnsi="Avenir Next"/>
                <w:color w:val="1B2A44"/>
                <w:sz w:val="18"/>
                <w:szCs w:val="18"/>
              </w:rPr>
              <w:t xml:space="preserve">Removed.</w:t>
            </w:r>
          </w:p>
        </w:tc>
      </w:tr>
      <w:tr>
        <w:tc>
          <w:tcPr>
            <w:tcW w:type="dxa" w:w="1400"/>
            <w:tcBorders>
              <w:top w:val="single" w:color="D9DEE7" w:sz="4"/>
              <w:left w:val="none" w:color="FFFFFF" w:sz="0"/>
              <w:bottom w:val="single" w:color="D9DEE7" w:sz="4"/>
              <w:right w:val="none" w:color="FFFFFF" w:sz="0"/>
            </w:tcBorders>
            <w:tcMar>
              <w:top w:type="dxa" w:w="60"/>
              <w:left w:type="dxa" w:w="110"/>
              <w:bottom w:type="dxa" w:w="60"/>
              <w:right w:type="dxa" w:w="110"/>
            </w:tcMar>
          </w:tcPr>
          <w:p>
            <w:pPr>
              <w:spacing w:after="0"/>
            </w:pPr>
            <w:r>
              <w:rPr>
                <w:rFonts w:ascii="Avenir Next" w:cs="Avenir Next" w:eastAsia="Avenir Next" w:hAnsi="Avenir Next"/>
                <w:b w:val="false"/>
                <w:bCs w:val="false"/>
                <w:color w:val="1B2A44"/>
                <w:sz w:val="18"/>
                <w:szCs w:val="18"/>
              </w:rPr>
              <w:t xml:space="preserve">Stats</w:t>
            </w:r>
          </w:p>
        </w:tc>
        <w:tc>
          <w:tcPr>
            <w:tcW w:type="dxa" w:w="3700"/>
            <w:tcBorders>
              <w:top w:val="single" w:color="D9DEE7" w:sz="4"/>
              <w:left w:val="none" w:color="FFFFFF" w:sz="0"/>
              <w:bottom w:val="single" w:color="D9DEE7" w:sz="4"/>
              <w:right w:val="none" w:color="FFFFFF" w:sz="0"/>
            </w:tcBorders>
            <w:tcMar>
              <w:top w:type="dxa" w:w="60"/>
              <w:left w:type="dxa" w:w="110"/>
              <w:bottom w:type="dxa" w:w="60"/>
              <w:right w:type="dxa" w:w="110"/>
            </w:tcMar>
          </w:tcPr>
          <w:p>
            <w:pPr>
              <w:spacing w:after="0"/>
            </w:pPr>
            <w:r>
              <w:rPr>
                <w:rFonts w:ascii="Avenir Next" w:cs="Avenir Next" w:eastAsia="Avenir Next" w:hAnsi="Avenir Next"/>
                <w:b w:val="false"/>
                <w:bCs w:val="false"/>
                <w:color w:val="1B2A44"/>
                <w:sz w:val="18"/>
                <w:szCs w:val="18"/>
              </w:rPr>
              <w:t xml:space="preserve">Counter values missing from the page.</w:t>
            </w:r>
          </w:p>
        </w:tc>
        <w:tc>
          <w:tcPr>
            <w:tcW w:type="dxa" w:w="3900"/>
            <w:tcBorders>
              <w:top w:val="single" w:color="D9DEE7" w:sz="4"/>
              <w:left w:val="none" w:color="FFFFFF" w:sz="0"/>
              <w:bottom w:val="single" w:color="D9DEE7" w:sz="4"/>
              <w:right w:val="none" w:color="FFFFFF" w:sz="0"/>
            </w:tcBorders>
            <w:tcMar>
              <w:top w:type="dxa" w:w="60"/>
              <w:left w:type="dxa" w:w="110"/>
              <w:bottom w:type="dxa" w:w="60"/>
              <w:right w:type="dxa" w:w="110"/>
            </w:tcMar>
          </w:tcPr>
          <w:p>
            <w:pPr>
              <w:spacing w:after="0"/>
            </w:pPr>
            <w:r>
              <w:rPr>
                <w:rFonts w:ascii="Avenir Next" w:cs="Avenir Next" w:eastAsia="Avenir Next" w:hAnsi="Avenir Next"/>
                <w:b/>
                <w:bCs/>
                <w:color w:val="B0641A"/>
                <w:sz w:val="18"/>
                <w:szCs w:val="18"/>
              </w:rPr>
              <w:t xml:space="preserve">Needs the client. </w:t>
            </w:r>
            <w:r>
              <w:rPr>
                <w:rFonts w:ascii="Avenir Next" w:cs="Avenir Next" w:eastAsia="Avenir Next" w:hAnsi="Avenir Next"/>
                <w:color w:val="1B2A44"/>
                <w:sz w:val="18"/>
                <w:szCs w:val="18"/>
              </w:rPr>
              <w:t xml:space="preserve">Needs the album count from the client to complete the strip.</w:t>
            </w:r>
          </w:p>
        </w:tc>
      </w:tr>
    </w:tbl>
    <w:p>
      <w:pPr>
        <w:spacing w:after="120" w:line="275"/>
      </w:pPr>
      <w:r>
        <w:rPr>
          <w:rFonts w:ascii="Avenir Next" w:cs="Avenir Next" w:eastAsia="Avenir Next" w:hAnsi="Avenir Next"/>
          <w:color w:val="1B2A44"/>
          <w:sz w:val="21"/>
          <w:szCs w:val="21"/>
        </w:rPr>
        <w:t xml:space="preserve"/>
      </w:r>
    </w:p>
    <w:p>
      <w:pPr>
        <w:pBdr>
          <w:bottom w:val="single" w:color="D9DEE7" w:sz="4" w:space="4"/>
        </w:pBdr>
        <w:spacing w:after="110" w:before="300"/>
      </w:pPr>
      <w:r>
        <w:rPr>
          <w:rFonts w:ascii="Avenir Next" w:cs="Avenir Next" w:eastAsia="Avenir Next" w:hAnsi="Avenir Next"/>
          <w:b/>
          <w:bCs/>
          <w:color w:val="1B2A44"/>
          <w:sz w:val="25"/>
          <w:szCs w:val="25"/>
        </w:rPr>
        <w:t xml:space="preserve">2. Spelling and copy</w:t>
      </w:r>
    </w:p>
    <w:p>
      <w:pPr>
        <w:spacing w:after="110" w:line="275"/>
      </w:pPr>
      <w:r>
        <w:rPr>
          <w:rFonts w:ascii="Avenir Next" w:cs="Avenir Next" w:eastAsia="Avenir Next" w:hAnsi="Avenir Next"/>
          <w:color w:val="1B2A44"/>
          <w:sz w:val="21"/>
          <w:szCs w:val="21"/>
        </w:rPr>
        <w:t xml:space="preserve">All items from the original list have been checked on the rebuild:</w:t>
      </w:r>
    </w:p>
    <w:p>
      <w:pPr>
        <w:pStyle w:val="ListParagraph"/>
        <w:numPr>
          <w:ilvl w:val="0"/>
          <w:numId w:val="2"/>
        </w:numPr>
        <w:spacing w:after="60" w:line="275"/>
      </w:pPr>
      <w:r>
        <w:rPr>
          <w:rFonts w:ascii="Avenir Next" w:cs="Avenir Next" w:eastAsia="Avenir Next" w:hAnsi="Avenir Next"/>
          <w:color w:val="1B2A44"/>
          <w:sz w:val="21"/>
          <w:szCs w:val="21"/>
        </w:rPr>
        <w:t xml:space="preserve">Twenty-two corrections: eight misspelled names of presenters, artists and a regiment; a song title in a tracklist; “recieve”, “menbers”, “enquires”, “somber” and a misspelled menu item; its/it’s errors; a doubled phrase on every enquiry form; and a job-title typo.</w:t>
      </w:r>
    </w:p>
    <w:p>
      <w:pPr>
        <w:pStyle w:val="ListParagraph"/>
        <w:numPr>
          <w:ilvl w:val="0"/>
          <w:numId w:val="2"/>
        </w:numPr>
        <w:spacing w:after="60" w:line="275"/>
      </w:pPr>
      <w:r>
        <w:rPr>
          <w:rFonts w:ascii="Avenir Next" w:cs="Avenir Next" w:eastAsia="Avenir Next" w:hAnsi="Avenir Next"/>
          <w:color w:val="1B2A44"/>
          <w:sz w:val="21"/>
          <w:szCs w:val="21"/>
        </w:rPr>
        <w:t xml:space="preserve">House style applied: one quote style, curly apostrophes, sentence-case capitalisation.</w:t>
      </w:r>
    </w:p>
    <w:p>
      <w:pPr>
        <w:pBdr>
          <w:bottom w:val="single" w:color="D9DEE7" w:sz="4" w:space="4"/>
        </w:pBdr>
        <w:spacing w:after="110" w:before="300"/>
      </w:pPr>
      <w:r>
        <w:rPr>
          <w:rFonts w:ascii="Avenir Next" w:cs="Avenir Next" w:eastAsia="Avenir Next" w:hAnsi="Avenir Next"/>
          <w:b/>
          <w:bCs/>
          <w:color w:val="1B2A44"/>
          <w:sz w:val="25"/>
          <w:szCs w:val="25"/>
        </w:rPr>
        <w:t xml:space="preserve">3. Design consistency</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400"/>
        <w:gridCol w:w="3700"/>
        <w:gridCol w:w="3900"/>
      </w:tblGrid>
      <w:tr>
        <w:trPr>
          <w:tblHeader/>
        </w:trPr>
        <w:tc>
          <w:tcPr>
            <w:tcW w:type="dxa" w:w="1400"/>
            <w:tcBorders>
              <w:top w:val="single" w:color="D9DEE7" w:sz="4"/>
              <w:left w:val="none" w:color="FFFFFF" w:sz="0"/>
              <w:bottom w:val="single" w:color="D9DEE7" w:sz="4"/>
              <w:right w:val="none" w:color="FFFFFF" w:sz="0"/>
            </w:tcBorders>
            <w:shd w:fill="F2F4F8" w:color="auto" w:val="clear"/>
            <w:tcMar>
              <w:top w:type="dxa" w:w="60"/>
              <w:left w:type="dxa" w:w="110"/>
              <w:bottom w:type="dxa" w:w="60"/>
              <w:right w:type="dxa" w:w="110"/>
            </w:tcMar>
          </w:tcPr>
          <w:p>
            <w:pPr>
              <w:spacing w:after="0"/>
            </w:pPr>
            <w:r>
              <w:rPr>
                <w:rFonts w:ascii="Avenir Next" w:cs="Avenir Next" w:eastAsia="Avenir Next" w:hAnsi="Avenir Next"/>
                <w:b/>
                <w:bCs/>
                <w:color w:val="1B2A44"/>
                <w:sz w:val="18"/>
                <w:szCs w:val="18"/>
              </w:rPr>
              <w:t xml:space="preserve">Area</w:t>
            </w:r>
          </w:p>
        </w:tc>
        <w:tc>
          <w:tcPr>
            <w:tcW w:type="dxa" w:w="3700"/>
            <w:tcBorders>
              <w:top w:val="single" w:color="D9DEE7" w:sz="4"/>
              <w:left w:val="none" w:color="FFFFFF" w:sz="0"/>
              <w:bottom w:val="single" w:color="D9DEE7" w:sz="4"/>
              <w:right w:val="none" w:color="FFFFFF" w:sz="0"/>
            </w:tcBorders>
            <w:shd w:fill="F2F4F8" w:color="auto" w:val="clear"/>
            <w:tcMar>
              <w:top w:type="dxa" w:w="60"/>
              <w:left w:type="dxa" w:w="110"/>
              <w:bottom w:type="dxa" w:w="60"/>
              <w:right w:type="dxa" w:w="110"/>
            </w:tcMar>
          </w:tcPr>
          <w:p>
            <w:pPr>
              <w:spacing w:after="0"/>
            </w:pPr>
            <w:r>
              <w:rPr>
                <w:rFonts w:ascii="Avenir Next" w:cs="Avenir Next" w:eastAsia="Avenir Next" w:hAnsi="Avenir Next"/>
                <w:b/>
                <w:bCs/>
                <w:color w:val="1B2A44"/>
                <w:sz w:val="18"/>
                <w:szCs w:val="18"/>
              </w:rPr>
              <w:t xml:space="preserve">Original finding</w:t>
            </w:r>
          </w:p>
        </w:tc>
        <w:tc>
          <w:tcPr>
            <w:tcW w:type="dxa" w:w="3900"/>
            <w:tcBorders>
              <w:top w:val="single" w:color="D9DEE7" w:sz="4"/>
              <w:left w:val="none" w:color="FFFFFF" w:sz="0"/>
              <w:bottom w:val="single" w:color="D9DEE7" w:sz="4"/>
              <w:right w:val="none" w:color="FFFFFF" w:sz="0"/>
            </w:tcBorders>
            <w:shd w:fill="F2F4F8" w:color="auto" w:val="clear"/>
            <w:tcMar>
              <w:top w:type="dxa" w:w="60"/>
              <w:left w:type="dxa" w:w="110"/>
              <w:bottom w:type="dxa" w:w="60"/>
              <w:right w:type="dxa" w:w="110"/>
            </w:tcMar>
          </w:tcPr>
          <w:p>
            <w:pPr>
              <w:spacing w:after="0"/>
            </w:pPr>
            <w:r>
              <w:rPr>
                <w:rFonts w:ascii="Avenir Next" w:cs="Avenir Next" w:eastAsia="Avenir Next" w:hAnsi="Avenir Next"/>
                <w:b/>
                <w:bCs/>
                <w:color w:val="1B2A44"/>
                <w:sz w:val="18"/>
                <w:szCs w:val="18"/>
              </w:rPr>
              <w:t xml:space="preserve">Rebuild</w:t>
            </w:r>
          </w:p>
        </w:tc>
      </w:tr>
      <w:tr>
        <w:tc>
          <w:tcPr>
            <w:tcW w:type="dxa" w:w="1400"/>
            <w:tcBorders>
              <w:top w:val="single" w:color="D9DEE7" w:sz="4"/>
              <w:left w:val="none" w:color="FFFFFF" w:sz="0"/>
              <w:bottom w:val="single" w:color="D9DEE7" w:sz="4"/>
              <w:right w:val="none" w:color="FFFFFF" w:sz="0"/>
            </w:tcBorders>
            <w:tcMar>
              <w:top w:type="dxa" w:w="60"/>
              <w:left w:type="dxa" w:w="110"/>
              <w:bottom w:type="dxa" w:w="60"/>
              <w:right w:type="dxa" w:w="110"/>
            </w:tcMar>
          </w:tcPr>
          <w:p>
            <w:pPr>
              <w:spacing w:after="0"/>
            </w:pPr>
            <w:r>
              <w:rPr>
                <w:rFonts w:ascii="Avenir Next" w:cs="Avenir Next" w:eastAsia="Avenir Next" w:hAnsi="Avenir Next"/>
                <w:b w:val="false"/>
                <w:bCs w:val="false"/>
                <w:color w:val="1B2A44"/>
                <w:sz w:val="18"/>
                <w:szCs w:val="18"/>
              </w:rPr>
              <w:t xml:space="preserve">Typography</w:t>
            </w:r>
          </w:p>
        </w:tc>
        <w:tc>
          <w:tcPr>
            <w:tcW w:type="dxa" w:w="3700"/>
            <w:tcBorders>
              <w:top w:val="single" w:color="D9DEE7" w:sz="4"/>
              <w:left w:val="none" w:color="FFFFFF" w:sz="0"/>
              <w:bottom w:val="single" w:color="D9DEE7" w:sz="4"/>
              <w:right w:val="none" w:color="FFFFFF" w:sz="0"/>
            </w:tcBorders>
            <w:tcMar>
              <w:top w:type="dxa" w:w="60"/>
              <w:left w:type="dxa" w:w="110"/>
              <w:bottom w:type="dxa" w:w="60"/>
              <w:right w:type="dxa" w:w="110"/>
            </w:tcMar>
          </w:tcPr>
          <w:p>
            <w:pPr>
              <w:spacing w:after="0"/>
            </w:pPr>
            <w:r>
              <w:rPr>
                <w:rFonts w:ascii="Avenir Next" w:cs="Avenir Next" w:eastAsia="Avenir Next" w:hAnsi="Avenir Next"/>
                <w:b w:val="false"/>
                <w:bCs w:val="false"/>
                <w:color w:val="1B2A44"/>
                <w:sz w:val="18"/>
                <w:szCs w:val="18"/>
              </w:rPr>
              <w:t xml:space="preserve">Seven typefaces on the home page.</w:t>
            </w:r>
          </w:p>
        </w:tc>
        <w:tc>
          <w:tcPr>
            <w:tcW w:type="dxa" w:w="3900"/>
            <w:tcBorders>
              <w:top w:val="single" w:color="D9DEE7" w:sz="4"/>
              <w:left w:val="none" w:color="FFFFFF" w:sz="0"/>
              <w:bottom w:val="single" w:color="D9DEE7" w:sz="4"/>
              <w:right w:val="none" w:color="FFFFFF" w:sz="0"/>
            </w:tcBorders>
            <w:tcMar>
              <w:top w:type="dxa" w:w="60"/>
              <w:left w:type="dxa" w:w="110"/>
              <w:bottom w:type="dxa" w:w="60"/>
              <w:right w:type="dxa" w:w="110"/>
            </w:tcMar>
          </w:tcPr>
          <w:p>
            <w:pPr>
              <w:spacing w:after="0"/>
            </w:pPr>
            <w:r>
              <w:rPr>
                <w:rFonts w:ascii="Avenir Next" w:cs="Avenir Next" w:eastAsia="Avenir Next" w:hAnsi="Avenir Next"/>
                <w:b/>
                <w:bCs/>
                <w:color w:val="7A9A1A"/>
                <w:sz w:val="18"/>
                <w:szCs w:val="18"/>
              </w:rPr>
              <w:t xml:space="preserve">Fixed. </w:t>
            </w:r>
            <w:r>
              <w:rPr>
                <w:rFonts w:ascii="Avenir Next" w:cs="Avenir Next" w:eastAsia="Avenir Next" w:hAnsi="Avenir Next"/>
                <w:color w:val="1B2A44"/>
                <w:sz w:val="18"/>
                <w:szCs w:val="18"/>
              </w:rPr>
              <w:t xml:space="preserve">One heading/body pairing across the site.</w:t>
            </w:r>
          </w:p>
        </w:tc>
      </w:tr>
      <w:tr>
        <w:tc>
          <w:tcPr>
            <w:tcW w:type="dxa" w:w="1400"/>
            <w:tcBorders>
              <w:top w:val="single" w:color="D9DEE7" w:sz="4"/>
              <w:left w:val="none" w:color="FFFFFF" w:sz="0"/>
              <w:bottom w:val="single" w:color="D9DEE7" w:sz="4"/>
              <w:right w:val="none" w:color="FFFFFF" w:sz="0"/>
            </w:tcBorders>
            <w:tcMar>
              <w:top w:type="dxa" w:w="60"/>
              <w:left w:type="dxa" w:w="110"/>
              <w:bottom w:type="dxa" w:w="60"/>
              <w:right w:type="dxa" w:w="110"/>
            </w:tcMar>
          </w:tcPr>
          <w:p>
            <w:pPr>
              <w:spacing w:after="0"/>
            </w:pPr>
            <w:r>
              <w:rPr>
                <w:rFonts w:ascii="Avenir Next" w:cs="Avenir Next" w:eastAsia="Avenir Next" w:hAnsi="Avenir Next"/>
                <w:b w:val="false"/>
                <w:bCs w:val="false"/>
                <w:color w:val="1B2A44"/>
                <w:sz w:val="18"/>
                <w:szCs w:val="18"/>
              </w:rPr>
              <w:t xml:space="preserve">Headings</w:t>
            </w:r>
          </w:p>
        </w:tc>
        <w:tc>
          <w:tcPr>
            <w:tcW w:type="dxa" w:w="3700"/>
            <w:tcBorders>
              <w:top w:val="single" w:color="D9DEE7" w:sz="4"/>
              <w:left w:val="none" w:color="FFFFFF" w:sz="0"/>
              <w:bottom w:val="single" w:color="D9DEE7" w:sz="4"/>
              <w:right w:val="none" w:color="FFFFFF" w:sz="0"/>
            </w:tcBorders>
            <w:tcMar>
              <w:top w:type="dxa" w:w="60"/>
              <w:left w:type="dxa" w:w="110"/>
              <w:bottom w:type="dxa" w:w="60"/>
              <w:right w:type="dxa" w:w="110"/>
            </w:tcMar>
          </w:tcPr>
          <w:p>
            <w:pPr>
              <w:spacing w:after="0"/>
            </w:pPr>
            <w:r>
              <w:rPr>
                <w:rFonts w:ascii="Avenir Next" w:cs="Avenir Next" w:eastAsia="Avenir Next" w:hAnsi="Avenir Next"/>
                <w:b w:val="false"/>
                <w:bCs w:val="false"/>
                <w:color w:val="1B2A44"/>
                <w:sz w:val="18"/>
                <w:szCs w:val="18"/>
              </w:rPr>
              <w:t xml:space="preserve">No H1; flat structure.</w:t>
            </w:r>
          </w:p>
        </w:tc>
        <w:tc>
          <w:tcPr>
            <w:tcW w:type="dxa" w:w="3900"/>
            <w:tcBorders>
              <w:top w:val="single" w:color="D9DEE7" w:sz="4"/>
              <w:left w:val="none" w:color="FFFFFF" w:sz="0"/>
              <w:bottom w:val="single" w:color="D9DEE7" w:sz="4"/>
              <w:right w:val="none" w:color="FFFFFF" w:sz="0"/>
            </w:tcBorders>
            <w:tcMar>
              <w:top w:type="dxa" w:w="60"/>
              <w:left w:type="dxa" w:w="110"/>
              <w:bottom w:type="dxa" w:w="60"/>
              <w:right w:type="dxa" w:w="110"/>
            </w:tcMar>
          </w:tcPr>
          <w:p>
            <w:pPr>
              <w:spacing w:after="0"/>
            </w:pPr>
            <w:r>
              <w:rPr>
                <w:rFonts w:ascii="Avenir Next" w:cs="Avenir Next" w:eastAsia="Avenir Next" w:hAnsi="Avenir Next"/>
                <w:b/>
                <w:bCs/>
                <w:color w:val="7A9A1A"/>
                <w:sz w:val="18"/>
                <w:szCs w:val="18"/>
              </w:rPr>
              <w:t xml:space="preserve">Fixed. </w:t>
            </w:r>
            <w:r>
              <w:rPr>
                <w:rFonts w:ascii="Avenir Next" w:cs="Avenir Next" w:eastAsia="Avenir Next" w:hAnsi="Avenir Next"/>
                <w:color w:val="1B2A44"/>
                <w:sz w:val="18"/>
                <w:szCs w:val="18"/>
              </w:rPr>
              <w:t xml:space="preserve">H1 on every page, H2 per section, skip-to-content link.</w:t>
            </w:r>
          </w:p>
        </w:tc>
      </w:tr>
      <w:tr>
        <w:tc>
          <w:tcPr>
            <w:tcW w:type="dxa" w:w="1400"/>
            <w:tcBorders>
              <w:top w:val="single" w:color="D9DEE7" w:sz="4"/>
              <w:left w:val="none" w:color="FFFFFF" w:sz="0"/>
              <w:bottom w:val="single" w:color="D9DEE7" w:sz="4"/>
              <w:right w:val="none" w:color="FFFFFF" w:sz="0"/>
            </w:tcBorders>
            <w:tcMar>
              <w:top w:type="dxa" w:w="60"/>
              <w:left w:type="dxa" w:w="110"/>
              <w:bottom w:type="dxa" w:w="60"/>
              <w:right w:type="dxa" w:w="110"/>
            </w:tcMar>
          </w:tcPr>
          <w:p>
            <w:pPr>
              <w:spacing w:after="0"/>
            </w:pPr>
            <w:r>
              <w:rPr>
                <w:rFonts w:ascii="Avenir Next" w:cs="Avenir Next" w:eastAsia="Avenir Next" w:hAnsi="Avenir Next"/>
                <w:b w:val="false"/>
                <w:bCs w:val="false"/>
                <w:color w:val="1B2A44"/>
                <w:sz w:val="18"/>
                <w:szCs w:val="18"/>
              </w:rPr>
              <w:t xml:space="preserve">Colour / contrast</w:t>
            </w:r>
          </w:p>
        </w:tc>
        <w:tc>
          <w:tcPr>
            <w:tcW w:type="dxa" w:w="3700"/>
            <w:tcBorders>
              <w:top w:val="single" w:color="D9DEE7" w:sz="4"/>
              <w:left w:val="none" w:color="FFFFFF" w:sz="0"/>
              <w:bottom w:val="single" w:color="D9DEE7" w:sz="4"/>
              <w:right w:val="none" w:color="FFFFFF" w:sz="0"/>
            </w:tcBorders>
            <w:tcMar>
              <w:top w:type="dxa" w:w="60"/>
              <w:left w:type="dxa" w:w="110"/>
              <w:bottom w:type="dxa" w:w="60"/>
              <w:right w:type="dxa" w:w="110"/>
            </w:tcMar>
          </w:tcPr>
          <w:p>
            <w:pPr>
              <w:spacing w:after="0"/>
            </w:pPr>
            <w:r>
              <w:rPr>
                <w:rFonts w:ascii="Avenir Next" w:cs="Avenir Next" w:eastAsia="Avenir Next" w:hAnsi="Avenir Next"/>
                <w:b w:val="false"/>
                <w:bCs w:val="false"/>
                <w:color w:val="1B2A44"/>
                <w:sz w:val="18"/>
                <w:szCs w:val="18"/>
              </w:rPr>
              <w:t xml:space="preserve">Grey text on dark and photographic backgrounds; mixed button colours.</w:t>
            </w:r>
          </w:p>
        </w:tc>
        <w:tc>
          <w:tcPr>
            <w:tcW w:type="dxa" w:w="3900"/>
            <w:tcBorders>
              <w:top w:val="single" w:color="D9DEE7" w:sz="4"/>
              <w:left w:val="none" w:color="FFFFFF" w:sz="0"/>
              <w:bottom w:val="single" w:color="D9DEE7" w:sz="4"/>
              <w:right w:val="none" w:color="FFFFFF" w:sz="0"/>
            </w:tcBorders>
            <w:tcMar>
              <w:top w:type="dxa" w:w="60"/>
              <w:left w:type="dxa" w:w="110"/>
              <w:bottom w:type="dxa" w:w="60"/>
              <w:right w:type="dxa" w:w="110"/>
            </w:tcMar>
          </w:tcPr>
          <w:p>
            <w:pPr>
              <w:spacing w:after="0"/>
            </w:pPr>
            <w:r>
              <w:rPr>
                <w:rFonts w:ascii="Avenir Next" w:cs="Avenir Next" w:eastAsia="Avenir Next" w:hAnsi="Avenir Next"/>
                <w:b/>
                <w:bCs/>
                <w:color w:val="7A9A1A"/>
                <w:sz w:val="18"/>
                <w:szCs w:val="18"/>
              </w:rPr>
              <w:t xml:space="preserve">Fixed. </w:t>
            </w:r>
            <w:r>
              <w:rPr>
                <w:rFonts w:ascii="Avenir Next" w:cs="Avenir Next" w:eastAsia="Avenir Next" w:hAnsi="Avenir Next"/>
                <w:color w:val="1B2A44"/>
                <w:sz w:val="18"/>
                <w:szCs w:val="18"/>
              </w:rPr>
              <w:t xml:space="preserve">Single palette; body text passes contrast on every background checked.</w:t>
            </w:r>
          </w:p>
        </w:tc>
      </w:tr>
      <w:tr>
        <w:tc>
          <w:tcPr>
            <w:tcW w:type="dxa" w:w="1400"/>
            <w:tcBorders>
              <w:top w:val="single" w:color="D9DEE7" w:sz="4"/>
              <w:left w:val="none" w:color="FFFFFF" w:sz="0"/>
              <w:bottom w:val="single" w:color="D9DEE7" w:sz="4"/>
              <w:right w:val="none" w:color="FFFFFF" w:sz="0"/>
            </w:tcBorders>
            <w:tcMar>
              <w:top w:type="dxa" w:w="60"/>
              <w:left w:type="dxa" w:w="110"/>
              <w:bottom w:type="dxa" w:w="60"/>
              <w:right w:type="dxa" w:w="110"/>
            </w:tcMar>
          </w:tcPr>
          <w:p>
            <w:pPr>
              <w:spacing w:after="0"/>
            </w:pPr>
            <w:r>
              <w:rPr>
                <w:rFonts w:ascii="Avenir Next" w:cs="Avenir Next" w:eastAsia="Avenir Next" w:hAnsi="Avenir Next"/>
                <w:b w:val="false"/>
                <w:bCs w:val="false"/>
                <w:color w:val="1B2A44"/>
                <w:sz w:val="18"/>
                <w:szCs w:val="18"/>
              </w:rPr>
              <w:t xml:space="preserve">Logo</w:t>
            </w:r>
          </w:p>
        </w:tc>
        <w:tc>
          <w:tcPr>
            <w:tcW w:type="dxa" w:w="3700"/>
            <w:tcBorders>
              <w:top w:val="single" w:color="D9DEE7" w:sz="4"/>
              <w:left w:val="none" w:color="FFFFFF" w:sz="0"/>
              <w:bottom w:val="single" w:color="D9DEE7" w:sz="4"/>
              <w:right w:val="none" w:color="FFFFFF" w:sz="0"/>
            </w:tcBorders>
            <w:tcMar>
              <w:top w:type="dxa" w:w="60"/>
              <w:left w:type="dxa" w:w="110"/>
              <w:bottom w:type="dxa" w:w="60"/>
              <w:right w:type="dxa" w:w="110"/>
            </w:tcMar>
          </w:tcPr>
          <w:p>
            <w:pPr>
              <w:spacing w:after="0"/>
            </w:pPr>
            <w:r>
              <w:rPr>
                <w:rFonts w:ascii="Avenir Next" w:cs="Avenir Next" w:eastAsia="Avenir Next" w:hAnsi="Avenir Next"/>
                <w:b w:val="false"/>
                <w:bCs w:val="false"/>
                <w:color w:val="1B2A44"/>
                <w:sz w:val="18"/>
                <w:szCs w:val="18"/>
              </w:rPr>
              <w:t xml:space="preserve">500 px PNG, blurred when enlarged.</w:t>
            </w:r>
          </w:p>
        </w:tc>
        <w:tc>
          <w:tcPr>
            <w:tcW w:type="dxa" w:w="3900"/>
            <w:tcBorders>
              <w:top w:val="single" w:color="D9DEE7" w:sz="4"/>
              <w:left w:val="none" w:color="FFFFFF" w:sz="0"/>
              <w:bottom w:val="single" w:color="D9DEE7" w:sz="4"/>
              <w:right w:val="none" w:color="FFFFFF" w:sz="0"/>
            </w:tcBorders>
            <w:tcMar>
              <w:top w:type="dxa" w:w="60"/>
              <w:left w:type="dxa" w:w="110"/>
              <w:bottom w:type="dxa" w:w="60"/>
              <w:right w:type="dxa" w:w="110"/>
            </w:tcMar>
          </w:tcPr>
          <w:p>
            <w:pPr>
              <w:spacing w:after="0"/>
            </w:pPr>
            <w:r>
              <w:rPr>
                <w:rFonts w:ascii="Avenir Next" w:cs="Avenir Next" w:eastAsia="Avenir Next" w:hAnsi="Avenir Next"/>
                <w:b/>
                <w:bCs/>
                <w:color w:val="B0641A"/>
                <w:sz w:val="18"/>
                <w:szCs w:val="18"/>
              </w:rPr>
              <w:t xml:space="preserve">Needs the client. </w:t>
            </w:r>
            <w:r>
              <w:rPr>
                <w:rFonts w:ascii="Avenir Next" w:cs="Avenir Next" w:eastAsia="Avenir Next" w:hAnsi="Avenir Next"/>
                <w:color w:val="1B2A44"/>
                <w:sz w:val="18"/>
                <w:szCs w:val="18"/>
              </w:rPr>
              <w:t xml:space="preserve">Served as WebP at the right sizes. Source quality still limited by the original file — the client’s original artwork would improve it further.</w:t>
            </w:r>
          </w:p>
        </w:tc>
      </w:tr>
      <w:tr>
        <w:tc>
          <w:tcPr>
            <w:tcW w:type="dxa" w:w="1400"/>
            <w:tcBorders>
              <w:top w:val="single" w:color="D9DEE7" w:sz="4"/>
              <w:left w:val="none" w:color="FFFFFF" w:sz="0"/>
              <w:bottom w:val="single" w:color="D9DEE7" w:sz="4"/>
              <w:right w:val="none" w:color="FFFFFF" w:sz="0"/>
            </w:tcBorders>
            <w:tcMar>
              <w:top w:type="dxa" w:w="60"/>
              <w:left w:type="dxa" w:w="110"/>
              <w:bottom w:type="dxa" w:w="60"/>
              <w:right w:type="dxa" w:w="110"/>
            </w:tcMar>
          </w:tcPr>
          <w:p>
            <w:pPr>
              <w:spacing w:after="0"/>
            </w:pPr>
            <w:r>
              <w:rPr>
                <w:rFonts w:ascii="Avenir Next" w:cs="Avenir Next" w:eastAsia="Avenir Next" w:hAnsi="Avenir Next"/>
                <w:b w:val="false"/>
                <w:bCs w:val="false"/>
                <w:color w:val="1B2A44"/>
                <w:sz w:val="18"/>
                <w:szCs w:val="18"/>
              </w:rPr>
              <w:t xml:space="preserve">Images</w:t>
            </w:r>
          </w:p>
        </w:tc>
        <w:tc>
          <w:tcPr>
            <w:tcW w:type="dxa" w:w="3700"/>
            <w:tcBorders>
              <w:top w:val="single" w:color="D9DEE7" w:sz="4"/>
              <w:left w:val="none" w:color="FFFFFF" w:sz="0"/>
              <w:bottom w:val="single" w:color="D9DEE7" w:sz="4"/>
              <w:right w:val="none" w:color="FFFFFF" w:sz="0"/>
            </w:tcBorders>
            <w:tcMar>
              <w:top w:type="dxa" w:w="60"/>
              <w:left w:type="dxa" w:w="110"/>
              <w:bottom w:type="dxa" w:w="60"/>
              <w:right w:type="dxa" w:w="110"/>
            </w:tcMar>
          </w:tcPr>
          <w:p>
            <w:pPr>
              <w:spacing w:after="0"/>
            </w:pPr>
            <w:r>
              <w:rPr>
                <w:rFonts w:ascii="Avenir Next" w:cs="Avenir Next" w:eastAsia="Avenir Next" w:hAnsi="Avenir Next"/>
                <w:b w:val="false"/>
                <w:bCs w:val="false"/>
                <w:color w:val="1B2A44"/>
                <w:sz w:val="18"/>
                <w:szCs w:val="18"/>
              </w:rPr>
              <w:t xml:space="preserve">Missing alt text; small member thumbnails.</w:t>
            </w:r>
          </w:p>
        </w:tc>
        <w:tc>
          <w:tcPr>
            <w:tcW w:type="dxa" w:w="3900"/>
            <w:tcBorders>
              <w:top w:val="single" w:color="D9DEE7" w:sz="4"/>
              <w:left w:val="none" w:color="FFFFFF" w:sz="0"/>
              <w:bottom w:val="single" w:color="D9DEE7" w:sz="4"/>
              <w:right w:val="none" w:color="FFFFFF" w:sz="0"/>
            </w:tcBorders>
            <w:tcMar>
              <w:top w:type="dxa" w:w="60"/>
              <w:left w:type="dxa" w:w="110"/>
              <w:bottom w:type="dxa" w:w="60"/>
              <w:right w:type="dxa" w:w="110"/>
            </w:tcMar>
          </w:tcPr>
          <w:p>
            <w:pPr>
              <w:spacing w:after="0"/>
            </w:pPr>
            <w:r>
              <w:rPr>
                <w:rFonts w:ascii="Avenir Next" w:cs="Avenir Next" w:eastAsia="Avenir Next" w:hAnsi="Avenir Next"/>
                <w:b/>
                <w:bCs/>
                <w:color w:val="B0641A"/>
                <w:sz w:val="18"/>
                <w:szCs w:val="18"/>
              </w:rPr>
              <w:t xml:space="preserve">Needs the client. </w:t>
            </w:r>
            <w:r>
              <w:rPr>
                <w:rFonts w:ascii="Avenir Next" w:cs="Avenir Next" w:eastAsia="Avenir Next" w:hAnsi="Avenir Next"/>
                <w:color w:val="1B2A44"/>
                <w:sz w:val="18"/>
                <w:szCs w:val="18"/>
              </w:rPr>
              <w:t xml:space="preserve">Alt text throughout. Member photos remain the 400 px originals until the client supplies better.</w:t>
            </w:r>
          </w:p>
        </w:tc>
      </w:tr>
    </w:tbl>
    <w:p>
      <w:pPr>
        <w:spacing w:after="120" w:line="275"/>
      </w:pPr>
      <w:r>
        <w:rPr>
          <w:rFonts w:ascii="Avenir Next" w:cs="Avenir Next" w:eastAsia="Avenir Next" w:hAnsi="Avenir Next"/>
          <w:color w:val="1B2A44"/>
          <w:sz w:val="21"/>
          <w:szCs w:val="21"/>
        </w:rPr>
        <w:t xml:space="preserve"/>
      </w:r>
    </w:p>
    <w:p>
      <w:pPr>
        <w:pBdr>
          <w:bottom w:val="single" w:color="D9DEE7" w:sz="4" w:space="4"/>
        </w:pBdr>
        <w:spacing w:after="110" w:before="300"/>
      </w:pPr>
      <w:r>
        <w:rPr>
          <w:rFonts w:ascii="Avenir Next" w:cs="Avenir Next" w:eastAsia="Avenir Next" w:hAnsi="Avenir Next"/>
          <w:b/>
          <w:bCs/>
          <w:color w:val="1B2A44"/>
          <w:sz w:val="25"/>
          <w:szCs w:val="25"/>
        </w:rPr>
        <w:t xml:space="preserve">4. Mobile, accessibility, search and legal</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400"/>
        <w:gridCol w:w="3700"/>
        <w:gridCol w:w="3900"/>
      </w:tblGrid>
      <w:tr>
        <w:trPr>
          <w:tblHeader/>
        </w:trPr>
        <w:tc>
          <w:tcPr>
            <w:tcW w:type="dxa" w:w="1400"/>
            <w:tcBorders>
              <w:top w:val="single" w:color="D9DEE7" w:sz="4"/>
              <w:left w:val="none" w:color="FFFFFF" w:sz="0"/>
              <w:bottom w:val="single" w:color="D9DEE7" w:sz="4"/>
              <w:right w:val="none" w:color="FFFFFF" w:sz="0"/>
            </w:tcBorders>
            <w:shd w:fill="F2F4F8" w:color="auto" w:val="clear"/>
            <w:tcMar>
              <w:top w:type="dxa" w:w="60"/>
              <w:left w:type="dxa" w:w="110"/>
              <w:bottom w:type="dxa" w:w="60"/>
              <w:right w:type="dxa" w:w="110"/>
            </w:tcMar>
          </w:tcPr>
          <w:p>
            <w:pPr>
              <w:spacing w:after="0"/>
            </w:pPr>
            <w:r>
              <w:rPr>
                <w:rFonts w:ascii="Avenir Next" w:cs="Avenir Next" w:eastAsia="Avenir Next" w:hAnsi="Avenir Next"/>
                <w:b/>
                <w:bCs/>
                <w:color w:val="1B2A44"/>
                <w:sz w:val="18"/>
                <w:szCs w:val="18"/>
              </w:rPr>
              <w:t xml:space="preserve">Area</w:t>
            </w:r>
          </w:p>
        </w:tc>
        <w:tc>
          <w:tcPr>
            <w:tcW w:type="dxa" w:w="3700"/>
            <w:tcBorders>
              <w:top w:val="single" w:color="D9DEE7" w:sz="4"/>
              <w:left w:val="none" w:color="FFFFFF" w:sz="0"/>
              <w:bottom w:val="single" w:color="D9DEE7" w:sz="4"/>
              <w:right w:val="none" w:color="FFFFFF" w:sz="0"/>
            </w:tcBorders>
            <w:shd w:fill="F2F4F8" w:color="auto" w:val="clear"/>
            <w:tcMar>
              <w:top w:type="dxa" w:w="60"/>
              <w:left w:type="dxa" w:w="110"/>
              <w:bottom w:type="dxa" w:w="60"/>
              <w:right w:type="dxa" w:w="110"/>
            </w:tcMar>
          </w:tcPr>
          <w:p>
            <w:pPr>
              <w:spacing w:after="0"/>
            </w:pPr>
            <w:r>
              <w:rPr>
                <w:rFonts w:ascii="Avenir Next" w:cs="Avenir Next" w:eastAsia="Avenir Next" w:hAnsi="Avenir Next"/>
                <w:b/>
                <w:bCs/>
                <w:color w:val="1B2A44"/>
                <w:sz w:val="18"/>
                <w:szCs w:val="18"/>
              </w:rPr>
              <w:t xml:space="preserve">Original finding</w:t>
            </w:r>
          </w:p>
        </w:tc>
        <w:tc>
          <w:tcPr>
            <w:tcW w:type="dxa" w:w="3900"/>
            <w:tcBorders>
              <w:top w:val="single" w:color="D9DEE7" w:sz="4"/>
              <w:left w:val="none" w:color="FFFFFF" w:sz="0"/>
              <w:bottom w:val="single" w:color="D9DEE7" w:sz="4"/>
              <w:right w:val="none" w:color="FFFFFF" w:sz="0"/>
            </w:tcBorders>
            <w:shd w:fill="F2F4F8" w:color="auto" w:val="clear"/>
            <w:tcMar>
              <w:top w:type="dxa" w:w="60"/>
              <w:left w:type="dxa" w:w="110"/>
              <w:bottom w:type="dxa" w:w="60"/>
              <w:right w:type="dxa" w:w="110"/>
            </w:tcMar>
          </w:tcPr>
          <w:p>
            <w:pPr>
              <w:spacing w:after="0"/>
            </w:pPr>
            <w:r>
              <w:rPr>
                <w:rFonts w:ascii="Avenir Next" w:cs="Avenir Next" w:eastAsia="Avenir Next" w:hAnsi="Avenir Next"/>
                <w:b/>
                <w:bCs/>
                <w:color w:val="1B2A44"/>
                <w:sz w:val="18"/>
                <w:szCs w:val="18"/>
              </w:rPr>
              <w:t xml:space="preserve">Rebuild</w:t>
            </w:r>
          </w:p>
        </w:tc>
      </w:tr>
      <w:tr>
        <w:tc>
          <w:tcPr>
            <w:tcW w:type="dxa" w:w="1400"/>
            <w:tcBorders>
              <w:top w:val="single" w:color="D9DEE7" w:sz="4"/>
              <w:left w:val="none" w:color="FFFFFF" w:sz="0"/>
              <w:bottom w:val="single" w:color="D9DEE7" w:sz="4"/>
              <w:right w:val="none" w:color="FFFFFF" w:sz="0"/>
            </w:tcBorders>
            <w:tcMar>
              <w:top w:type="dxa" w:w="60"/>
              <w:left w:type="dxa" w:w="110"/>
              <w:bottom w:type="dxa" w:w="60"/>
              <w:right w:type="dxa" w:w="110"/>
            </w:tcMar>
          </w:tcPr>
          <w:p>
            <w:pPr>
              <w:spacing w:after="0"/>
            </w:pPr>
            <w:r>
              <w:rPr>
                <w:rFonts w:ascii="Avenir Next" w:cs="Avenir Next" w:eastAsia="Avenir Next" w:hAnsi="Avenir Next"/>
                <w:b w:val="false"/>
                <w:bCs w:val="false"/>
                <w:color w:val="1B2A44"/>
                <w:sz w:val="18"/>
                <w:szCs w:val="18"/>
              </w:rPr>
              <w:t xml:space="preserve">Mobile</w:t>
            </w:r>
          </w:p>
        </w:tc>
        <w:tc>
          <w:tcPr>
            <w:tcW w:type="dxa" w:w="3700"/>
            <w:tcBorders>
              <w:top w:val="single" w:color="D9DEE7" w:sz="4"/>
              <w:left w:val="none" w:color="FFFFFF" w:sz="0"/>
              <w:bottom w:val="single" w:color="D9DEE7" w:sz="4"/>
              <w:right w:val="none" w:color="FFFFFF" w:sz="0"/>
            </w:tcBorders>
            <w:tcMar>
              <w:top w:type="dxa" w:w="60"/>
              <w:left w:type="dxa" w:w="110"/>
              <w:bottom w:type="dxa" w:w="60"/>
              <w:right w:type="dxa" w:w="110"/>
            </w:tcMar>
          </w:tcPr>
          <w:p>
            <w:pPr>
              <w:spacing w:after="0"/>
            </w:pPr>
            <w:r>
              <w:rPr>
                <w:rFonts w:ascii="Avenir Next" w:cs="Avenir Next" w:eastAsia="Avenir Next" w:hAnsi="Avenir Next"/>
                <w:b w:val="false"/>
                <w:bCs w:val="false"/>
                <w:color w:val="1B2A44"/>
                <w:sz w:val="18"/>
                <w:szCs w:val="18"/>
              </w:rPr>
              <w:t xml:space="preserve">Pinch-zoom disabled.</w:t>
            </w:r>
          </w:p>
        </w:tc>
        <w:tc>
          <w:tcPr>
            <w:tcW w:type="dxa" w:w="3900"/>
            <w:tcBorders>
              <w:top w:val="single" w:color="D9DEE7" w:sz="4"/>
              <w:left w:val="none" w:color="FFFFFF" w:sz="0"/>
              <w:bottom w:val="single" w:color="D9DEE7" w:sz="4"/>
              <w:right w:val="none" w:color="FFFFFF" w:sz="0"/>
            </w:tcBorders>
            <w:tcMar>
              <w:top w:type="dxa" w:w="60"/>
              <w:left w:type="dxa" w:w="110"/>
              <w:bottom w:type="dxa" w:w="60"/>
              <w:right w:type="dxa" w:w="110"/>
            </w:tcMar>
          </w:tcPr>
          <w:p>
            <w:pPr>
              <w:spacing w:after="0"/>
            </w:pPr>
            <w:r>
              <w:rPr>
                <w:rFonts w:ascii="Avenir Next" w:cs="Avenir Next" w:eastAsia="Avenir Next" w:hAnsi="Avenir Next"/>
                <w:b/>
                <w:bCs/>
                <w:color w:val="7A9A1A"/>
                <w:sz w:val="18"/>
                <w:szCs w:val="18"/>
              </w:rPr>
              <w:t xml:space="preserve">Fixed. </w:t>
            </w:r>
            <w:r>
              <w:rPr>
                <w:rFonts w:ascii="Avenir Next" w:cs="Avenir Next" w:eastAsia="Avenir Next" w:hAnsi="Avenir Next"/>
                <w:color w:val="1B2A44"/>
                <w:sz w:val="18"/>
                <w:szCs w:val="18"/>
              </w:rPr>
              <w:t xml:space="preserve">Standard viewport; zoom works.</w:t>
            </w:r>
          </w:p>
        </w:tc>
      </w:tr>
      <w:tr>
        <w:tc>
          <w:tcPr>
            <w:tcW w:type="dxa" w:w="1400"/>
            <w:tcBorders>
              <w:top w:val="single" w:color="D9DEE7" w:sz="4"/>
              <w:left w:val="none" w:color="FFFFFF" w:sz="0"/>
              <w:bottom w:val="single" w:color="D9DEE7" w:sz="4"/>
              <w:right w:val="none" w:color="FFFFFF" w:sz="0"/>
            </w:tcBorders>
            <w:tcMar>
              <w:top w:type="dxa" w:w="60"/>
              <w:left w:type="dxa" w:w="110"/>
              <w:bottom w:type="dxa" w:w="60"/>
              <w:right w:type="dxa" w:w="110"/>
            </w:tcMar>
          </w:tcPr>
          <w:p>
            <w:pPr>
              <w:spacing w:after="0"/>
            </w:pPr>
            <w:r>
              <w:rPr>
                <w:rFonts w:ascii="Avenir Next" w:cs="Avenir Next" w:eastAsia="Avenir Next" w:hAnsi="Avenir Next"/>
                <w:b w:val="false"/>
                <w:bCs w:val="false"/>
                <w:color w:val="1B2A44"/>
                <w:sz w:val="18"/>
                <w:szCs w:val="18"/>
              </w:rPr>
              <w:t xml:space="preserve">Accessibility</w:t>
            </w:r>
          </w:p>
        </w:tc>
        <w:tc>
          <w:tcPr>
            <w:tcW w:type="dxa" w:w="3700"/>
            <w:tcBorders>
              <w:top w:val="single" w:color="D9DEE7" w:sz="4"/>
              <w:left w:val="none" w:color="FFFFFF" w:sz="0"/>
              <w:bottom w:val="single" w:color="D9DEE7" w:sz="4"/>
              <w:right w:val="none" w:color="FFFFFF" w:sz="0"/>
            </w:tcBorders>
            <w:tcMar>
              <w:top w:type="dxa" w:w="60"/>
              <w:left w:type="dxa" w:w="110"/>
              <w:bottom w:type="dxa" w:w="60"/>
              <w:right w:type="dxa" w:w="110"/>
            </w:tcMar>
          </w:tcPr>
          <w:p>
            <w:pPr>
              <w:spacing w:after="0"/>
            </w:pPr>
            <w:r>
              <w:rPr>
                <w:rFonts w:ascii="Avenir Next" w:cs="Avenir Next" w:eastAsia="Avenir Next" w:hAnsi="Avenir Next"/>
                <w:b w:val="false"/>
                <w:bCs w:val="false"/>
                <w:color w:val="1B2A44"/>
                <w:sz w:val="18"/>
                <w:szCs w:val="18"/>
              </w:rPr>
              <w:t xml:space="preserve">No skip link, no H1, contrast, reCAPTCHA.</w:t>
            </w:r>
          </w:p>
        </w:tc>
        <w:tc>
          <w:tcPr>
            <w:tcW w:type="dxa" w:w="3900"/>
            <w:tcBorders>
              <w:top w:val="single" w:color="D9DEE7" w:sz="4"/>
              <w:left w:val="none" w:color="FFFFFF" w:sz="0"/>
              <w:bottom w:val="single" w:color="D9DEE7" w:sz="4"/>
              <w:right w:val="none" w:color="FFFFFF" w:sz="0"/>
            </w:tcBorders>
            <w:tcMar>
              <w:top w:type="dxa" w:w="60"/>
              <w:left w:type="dxa" w:w="110"/>
              <w:bottom w:type="dxa" w:w="60"/>
              <w:right w:type="dxa" w:w="110"/>
            </w:tcMar>
          </w:tcPr>
          <w:p>
            <w:pPr>
              <w:spacing w:after="0"/>
            </w:pPr>
            <w:r>
              <w:rPr>
                <w:rFonts w:ascii="Avenir Next" w:cs="Avenir Next" w:eastAsia="Avenir Next" w:hAnsi="Avenir Next"/>
                <w:b/>
                <w:bCs/>
                <w:color w:val="7A9A1A"/>
                <w:sz w:val="18"/>
                <w:szCs w:val="18"/>
              </w:rPr>
              <w:t xml:space="preserve">Fixed. </w:t>
            </w:r>
            <w:r>
              <w:rPr>
                <w:rFonts w:ascii="Avenir Next" w:cs="Avenir Next" w:eastAsia="Avenir Next" w:hAnsi="Avenir Next"/>
                <w:color w:val="1B2A44"/>
                <w:sz w:val="18"/>
                <w:szCs w:val="18"/>
              </w:rPr>
              <w:t xml:space="preserve">Skip link and headings in place; contrast fixed; form protection changing with the contact work above.</w:t>
            </w:r>
          </w:p>
        </w:tc>
      </w:tr>
      <w:tr>
        <w:tc>
          <w:tcPr>
            <w:tcW w:type="dxa" w:w="1400"/>
            <w:tcBorders>
              <w:top w:val="single" w:color="D9DEE7" w:sz="4"/>
              <w:left w:val="none" w:color="FFFFFF" w:sz="0"/>
              <w:bottom w:val="single" w:color="D9DEE7" w:sz="4"/>
              <w:right w:val="none" w:color="FFFFFF" w:sz="0"/>
            </w:tcBorders>
            <w:tcMar>
              <w:top w:type="dxa" w:w="60"/>
              <w:left w:type="dxa" w:w="110"/>
              <w:bottom w:type="dxa" w:w="60"/>
              <w:right w:type="dxa" w:w="110"/>
            </w:tcMar>
          </w:tcPr>
          <w:p>
            <w:pPr>
              <w:spacing w:after="0"/>
            </w:pPr>
            <w:r>
              <w:rPr>
                <w:rFonts w:ascii="Avenir Next" w:cs="Avenir Next" w:eastAsia="Avenir Next" w:hAnsi="Avenir Next"/>
                <w:b w:val="false"/>
                <w:bCs w:val="false"/>
                <w:color w:val="1B2A44"/>
                <w:sz w:val="18"/>
                <w:szCs w:val="18"/>
              </w:rPr>
              <w:t xml:space="preserve">Search / sharing</w:t>
            </w:r>
          </w:p>
        </w:tc>
        <w:tc>
          <w:tcPr>
            <w:tcW w:type="dxa" w:w="3700"/>
            <w:tcBorders>
              <w:top w:val="single" w:color="D9DEE7" w:sz="4"/>
              <w:left w:val="none" w:color="FFFFFF" w:sz="0"/>
              <w:bottom w:val="single" w:color="D9DEE7" w:sz="4"/>
              <w:right w:val="none" w:color="FFFFFF" w:sz="0"/>
            </w:tcBorders>
            <w:tcMar>
              <w:top w:type="dxa" w:w="60"/>
              <w:left w:type="dxa" w:w="110"/>
              <w:bottom w:type="dxa" w:w="60"/>
              <w:right w:type="dxa" w:w="110"/>
            </w:tcMar>
          </w:tcPr>
          <w:p>
            <w:pPr>
              <w:spacing w:after="0"/>
            </w:pPr>
            <w:r>
              <w:rPr>
                <w:rFonts w:ascii="Avenir Next" w:cs="Avenir Next" w:eastAsia="Avenir Next" w:hAnsi="Avenir Next"/>
                <w:b w:val="false"/>
                <w:bCs w:val="false"/>
                <w:color w:val="1B2A44"/>
                <w:sz w:val="18"/>
                <w:szCs w:val="18"/>
              </w:rPr>
              <w:t xml:space="preserve">Bots blocked; no Open Graph image; slow server.</w:t>
            </w:r>
          </w:p>
        </w:tc>
        <w:tc>
          <w:tcPr>
            <w:tcW w:type="dxa" w:w="3900"/>
            <w:tcBorders>
              <w:top w:val="single" w:color="D9DEE7" w:sz="4"/>
              <w:left w:val="none" w:color="FFFFFF" w:sz="0"/>
              <w:bottom w:val="single" w:color="D9DEE7" w:sz="4"/>
              <w:right w:val="none" w:color="FFFFFF" w:sz="0"/>
            </w:tcBorders>
            <w:tcMar>
              <w:top w:type="dxa" w:w="60"/>
              <w:left w:type="dxa" w:w="110"/>
              <w:bottom w:type="dxa" w:w="60"/>
              <w:right w:type="dxa" w:w="110"/>
            </w:tcMar>
          </w:tcPr>
          <w:p>
            <w:pPr>
              <w:spacing w:after="0"/>
            </w:pPr>
            <w:r>
              <w:rPr>
                <w:rFonts w:ascii="Avenir Next" w:cs="Avenir Next" w:eastAsia="Avenir Next" w:hAnsi="Avenir Next"/>
                <w:b/>
                <w:bCs/>
                <w:color w:val="7A9A1A"/>
                <w:sz w:val="18"/>
                <w:szCs w:val="18"/>
              </w:rPr>
              <w:t xml:space="preserve">Fixed. </w:t>
            </w:r>
            <w:r>
              <w:rPr>
                <w:rFonts w:ascii="Avenir Next" w:cs="Avenir Next" w:eastAsia="Avenir Next" w:hAnsi="Avenir Next"/>
                <w:color w:val="1B2A44"/>
                <w:sz w:val="18"/>
                <w:szCs w:val="18"/>
              </w:rPr>
              <w:t xml:space="preserve">Open Graph and Twitter metadata on every page; canonical set to the live domain; crawlable. Inner pages return 200 with a single tidy redirect from non-slash addresses.</w:t>
            </w:r>
          </w:p>
        </w:tc>
      </w:tr>
      <w:tr>
        <w:tc>
          <w:tcPr>
            <w:tcW w:type="dxa" w:w="1400"/>
            <w:tcBorders>
              <w:top w:val="single" w:color="D9DEE7" w:sz="4"/>
              <w:left w:val="none" w:color="FFFFFF" w:sz="0"/>
              <w:bottom w:val="single" w:color="D9DEE7" w:sz="4"/>
              <w:right w:val="none" w:color="FFFFFF" w:sz="0"/>
            </w:tcBorders>
            <w:tcMar>
              <w:top w:type="dxa" w:w="60"/>
              <w:left w:type="dxa" w:w="110"/>
              <w:bottom w:type="dxa" w:w="60"/>
              <w:right w:type="dxa" w:w="110"/>
            </w:tcMar>
          </w:tcPr>
          <w:p>
            <w:pPr>
              <w:spacing w:after="0"/>
            </w:pPr>
            <w:r>
              <w:rPr>
                <w:rFonts w:ascii="Avenir Next" w:cs="Avenir Next" w:eastAsia="Avenir Next" w:hAnsi="Avenir Next"/>
                <w:b w:val="false"/>
                <w:bCs w:val="false"/>
                <w:color w:val="1B2A44"/>
                <w:sz w:val="18"/>
                <w:szCs w:val="18"/>
              </w:rPr>
              <w:t xml:space="preserve">Legal</w:t>
            </w:r>
          </w:p>
        </w:tc>
        <w:tc>
          <w:tcPr>
            <w:tcW w:type="dxa" w:w="3700"/>
            <w:tcBorders>
              <w:top w:val="single" w:color="D9DEE7" w:sz="4"/>
              <w:left w:val="none" w:color="FFFFFF" w:sz="0"/>
              <w:bottom w:val="single" w:color="D9DEE7" w:sz="4"/>
              <w:right w:val="none" w:color="FFFFFF" w:sz="0"/>
            </w:tcBorders>
            <w:tcMar>
              <w:top w:type="dxa" w:w="60"/>
              <w:left w:type="dxa" w:w="110"/>
              <w:bottom w:type="dxa" w:w="60"/>
              <w:right w:type="dxa" w:w="110"/>
            </w:tcMar>
          </w:tcPr>
          <w:p>
            <w:pPr>
              <w:spacing w:after="0"/>
            </w:pPr>
            <w:r>
              <w:rPr>
                <w:rFonts w:ascii="Avenir Next" w:cs="Avenir Next" w:eastAsia="Avenir Next" w:hAnsi="Avenir Next"/>
                <w:b w:val="false"/>
                <w:bCs w:val="false"/>
                <w:color w:val="1B2A44"/>
                <w:sz w:val="18"/>
                <w:szCs w:val="18"/>
              </w:rPr>
              <w:t xml:space="preserve">Analytics and Mailchimp set cookies with no consent.</w:t>
            </w:r>
          </w:p>
        </w:tc>
        <w:tc>
          <w:tcPr>
            <w:tcW w:type="dxa" w:w="3900"/>
            <w:tcBorders>
              <w:top w:val="single" w:color="D9DEE7" w:sz="4"/>
              <w:left w:val="none" w:color="FFFFFF" w:sz="0"/>
              <w:bottom w:val="single" w:color="D9DEE7" w:sz="4"/>
              <w:right w:val="none" w:color="FFFFFF" w:sz="0"/>
            </w:tcBorders>
            <w:tcMar>
              <w:top w:type="dxa" w:w="60"/>
              <w:left w:type="dxa" w:w="110"/>
              <w:bottom w:type="dxa" w:w="60"/>
              <w:right w:type="dxa" w:w="110"/>
            </w:tcMar>
          </w:tcPr>
          <w:p>
            <w:pPr>
              <w:spacing w:after="0"/>
            </w:pPr>
            <w:r>
              <w:rPr>
                <w:rFonts w:ascii="Avenir Next" w:cs="Avenir Next" w:eastAsia="Avenir Next" w:hAnsi="Avenir Next"/>
                <w:b/>
                <w:bCs/>
                <w:color w:val="7A9A1A"/>
                <w:sz w:val="18"/>
                <w:szCs w:val="18"/>
              </w:rPr>
              <w:t xml:space="preserve">Fixed. </w:t>
            </w:r>
            <w:r>
              <w:rPr>
                <w:rFonts w:ascii="Avenir Next" w:cs="Avenir Next" w:eastAsia="Avenir Next" w:hAnsi="Avenir Next"/>
                <w:color w:val="1B2A44"/>
                <w:sz w:val="18"/>
                <w:szCs w:val="18"/>
              </w:rPr>
              <w:t xml:space="preserve">No analytics or third-party scripts run on the rebuild, so no consent banner is needed. Video from YouTube loads only when a visitor clicks play.</w:t>
            </w:r>
          </w:p>
        </w:tc>
      </w:tr>
    </w:tbl>
    <w:p>
      <w:pPr>
        <w:spacing w:after="120" w:line="275"/>
      </w:pPr>
      <w:r>
        <w:rPr>
          <w:rFonts w:ascii="Avenir Next" w:cs="Avenir Next" w:eastAsia="Avenir Next" w:hAnsi="Avenir Next"/>
          <w:color w:val="1B2A44"/>
          <w:sz w:val="21"/>
          <w:szCs w:val="21"/>
        </w:rPr>
        <w:t xml:space="preserve"/>
      </w:r>
    </w:p>
    <w:p>
      <w:pPr>
        <w:pBdr>
          <w:bottom w:val="single" w:color="D9DEE7" w:sz="4" w:space="4"/>
        </w:pBdr>
        <w:spacing w:after="110" w:before="300"/>
      </w:pPr>
      <w:r>
        <w:rPr>
          <w:rFonts w:ascii="Avenir Next" w:cs="Avenir Next" w:eastAsia="Avenir Next" w:hAnsi="Avenir Next"/>
          <w:b/>
          <w:bCs/>
          <w:color w:val="1B2A44"/>
          <w:sz w:val="25"/>
          <w:szCs w:val="25"/>
        </w:rPr>
        <w:t xml:space="preserve">5. Performance and platform</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400"/>
        <w:gridCol w:w="3700"/>
        <w:gridCol w:w="3900"/>
      </w:tblGrid>
      <w:tr>
        <w:trPr>
          <w:tblHeader/>
        </w:trPr>
        <w:tc>
          <w:tcPr>
            <w:tcW w:type="dxa" w:w="1400"/>
            <w:tcBorders>
              <w:top w:val="single" w:color="D9DEE7" w:sz="4"/>
              <w:left w:val="none" w:color="FFFFFF" w:sz="0"/>
              <w:bottom w:val="single" w:color="D9DEE7" w:sz="4"/>
              <w:right w:val="none" w:color="FFFFFF" w:sz="0"/>
            </w:tcBorders>
            <w:shd w:fill="F2F4F8" w:color="auto" w:val="clear"/>
            <w:tcMar>
              <w:top w:type="dxa" w:w="60"/>
              <w:left w:type="dxa" w:w="110"/>
              <w:bottom w:type="dxa" w:w="60"/>
              <w:right w:type="dxa" w:w="110"/>
            </w:tcMar>
          </w:tcPr>
          <w:p>
            <w:pPr>
              <w:spacing w:after="0"/>
            </w:pPr>
            <w:r>
              <w:rPr>
                <w:rFonts w:ascii="Avenir Next" w:cs="Avenir Next" w:eastAsia="Avenir Next" w:hAnsi="Avenir Next"/>
                <w:b/>
                <w:bCs/>
                <w:color w:val="1B2A44"/>
                <w:sz w:val="18"/>
                <w:szCs w:val="18"/>
              </w:rPr>
              <w:t xml:space="preserve">Area</w:t>
            </w:r>
          </w:p>
        </w:tc>
        <w:tc>
          <w:tcPr>
            <w:tcW w:type="dxa" w:w="3700"/>
            <w:tcBorders>
              <w:top w:val="single" w:color="D9DEE7" w:sz="4"/>
              <w:left w:val="none" w:color="FFFFFF" w:sz="0"/>
              <w:bottom w:val="single" w:color="D9DEE7" w:sz="4"/>
              <w:right w:val="none" w:color="FFFFFF" w:sz="0"/>
            </w:tcBorders>
            <w:shd w:fill="F2F4F8" w:color="auto" w:val="clear"/>
            <w:tcMar>
              <w:top w:type="dxa" w:w="60"/>
              <w:left w:type="dxa" w:w="110"/>
              <w:bottom w:type="dxa" w:w="60"/>
              <w:right w:type="dxa" w:w="110"/>
            </w:tcMar>
          </w:tcPr>
          <w:p>
            <w:pPr>
              <w:spacing w:after="0"/>
            </w:pPr>
            <w:r>
              <w:rPr>
                <w:rFonts w:ascii="Avenir Next" w:cs="Avenir Next" w:eastAsia="Avenir Next" w:hAnsi="Avenir Next"/>
                <w:b/>
                <w:bCs/>
                <w:color w:val="1B2A44"/>
                <w:sz w:val="18"/>
                <w:szCs w:val="18"/>
              </w:rPr>
              <w:t xml:space="preserve">Original finding</w:t>
            </w:r>
          </w:p>
        </w:tc>
        <w:tc>
          <w:tcPr>
            <w:tcW w:type="dxa" w:w="3900"/>
            <w:tcBorders>
              <w:top w:val="single" w:color="D9DEE7" w:sz="4"/>
              <w:left w:val="none" w:color="FFFFFF" w:sz="0"/>
              <w:bottom w:val="single" w:color="D9DEE7" w:sz="4"/>
              <w:right w:val="none" w:color="FFFFFF" w:sz="0"/>
            </w:tcBorders>
            <w:shd w:fill="F2F4F8" w:color="auto" w:val="clear"/>
            <w:tcMar>
              <w:top w:type="dxa" w:w="60"/>
              <w:left w:type="dxa" w:w="110"/>
              <w:bottom w:type="dxa" w:w="60"/>
              <w:right w:type="dxa" w:w="110"/>
            </w:tcMar>
          </w:tcPr>
          <w:p>
            <w:pPr>
              <w:spacing w:after="0"/>
            </w:pPr>
            <w:r>
              <w:rPr>
                <w:rFonts w:ascii="Avenir Next" w:cs="Avenir Next" w:eastAsia="Avenir Next" w:hAnsi="Avenir Next"/>
                <w:b/>
                <w:bCs/>
                <w:color w:val="1B2A44"/>
                <w:sz w:val="18"/>
                <w:szCs w:val="18"/>
              </w:rPr>
              <w:t xml:space="preserve">Rebuild</w:t>
            </w:r>
          </w:p>
        </w:tc>
      </w:tr>
      <w:tr>
        <w:tc>
          <w:tcPr>
            <w:tcW w:type="dxa" w:w="1400"/>
            <w:tcBorders>
              <w:top w:val="single" w:color="D9DEE7" w:sz="4"/>
              <w:left w:val="none" w:color="FFFFFF" w:sz="0"/>
              <w:bottom w:val="single" w:color="D9DEE7" w:sz="4"/>
              <w:right w:val="none" w:color="FFFFFF" w:sz="0"/>
            </w:tcBorders>
            <w:tcMar>
              <w:top w:type="dxa" w:w="60"/>
              <w:left w:type="dxa" w:w="110"/>
              <w:bottom w:type="dxa" w:w="60"/>
              <w:right w:type="dxa" w:w="110"/>
            </w:tcMar>
          </w:tcPr>
          <w:p>
            <w:pPr>
              <w:spacing w:after="0"/>
            </w:pPr>
            <w:r>
              <w:rPr>
                <w:rFonts w:ascii="Avenir Next" w:cs="Avenir Next" w:eastAsia="Avenir Next" w:hAnsi="Avenir Next"/>
                <w:b w:val="false"/>
                <w:bCs w:val="false"/>
                <w:color w:val="1B2A44"/>
                <w:sz w:val="18"/>
                <w:szCs w:val="18"/>
              </w:rPr>
              <w:t xml:space="preserve">Speed</w:t>
            </w:r>
          </w:p>
        </w:tc>
        <w:tc>
          <w:tcPr>
            <w:tcW w:type="dxa" w:w="3700"/>
            <w:tcBorders>
              <w:top w:val="single" w:color="D9DEE7" w:sz="4"/>
              <w:left w:val="none" w:color="FFFFFF" w:sz="0"/>
              <w:bottom w:val="single" w:color="D9DEE7" w:sz="4"/>
              <w:right w:val="none" w:color="FFFFFF" w:sz="0"/>
            </w:tcBorders>
            <w:tcMar>
              <w:top w:type="dxa" w:w="60"/>
              <w:left w:type="dxa" w:w="110"/>
              <w:bottom w:type="dxa" w:w="60"/>
              <w:right w:type="dxa" w:w="110"/>
            </w:tcMar>
          </w:tcPr>
          <w:p>
            <w:pPr>
              <w:spacing w:after="0"/>
            </w:pPr>
            <w:r>
              <w:rPr>
                <w:rFonts w:ascii="Avenir Next" w:cs="Avenir Next" w:eastAsia="Avenir Next" w:hAnsi="Avenir Next"/>
                <w:b w:val="false"/>
                <w:bCs w:val="false"/>
                <w:color w:val="1B2A44"/>
                <w:sz w:val="18"/>
                <w:szCs w:val="18"/>
              </w:rPr>
              <w:t xml:space="preserve">3.7 s to first byte; 4.6 s load; 97 requests.</w:t>
            </w:r>
          </w:p>
        </w:tc>
        <w:tc>
          <w:tcPr>
            <w:tcW w:type="dxa" w:w="3900"/>
            <w:tcBorders>
              <w:top w:val="single" w:color="D9DEE7" w:sz="4"/>
              <w:left w:val="none" w:color="FFFFFF" w:sz="0"/>
              <w:bottom w:val="single" w:color="D9DEE7" w:sz="4"/>
              <w:right w:val="none" w:color="FFFFFF" w:sz="0"/>
            </w:tcBorders>
            <w:tcMar>
              <w:top w:type="dxa" w:w="60"/>
              <w:left w:type="dxa" w:w="110"/>
              <w:bottom w:type="dxa" w:w="60"/>
              <w:right w:type="dxa" w:w="110"/>
            </w:tcMar>
          </w:tcPr>
          <w:p>
            <w:pPr>
              <w:spacing w:after="0"/>
            </w:pPr>
            <w:r>
              <w:rPr>
                <w:rFonts w:ascii="Avenir Next" w:cs="Avenir Next" w:eastAsia="Avenir Next" w:hAnsi="Avenir Next"/>
                <w:b/>
                <w:bCs/>
                <w:color w:val="7A9A1A"/>
                <w:sz w:val="18"/>
                <w:szCs w:val="18"/>
              </w:rPr>
              <w:t xml:space="preserve">Fixed. </w:t>
            </w:r>
            <w:r>
              <w:rPr>
                <w:rFonts w:ascii="Avenir Next" w:cs="Avenir Next" w:eastAsia="Avenir Next" w:hAnsi="Avenir Next"/>
                <w:color w:val="1B2A44"/>
                <w:sz w:val="18"/>
                <w:szCs w:val="18"/>
              </w:rPr>
              <w:t xml:space="preserve">38 ms to first byte; 0.5 s load; 21 requests; 169 kB.</w:t>
            </w:r>
          </w:p>
        </w:tc>
      </w:tr>
      <w:tr>
        <w:tc>
          <w:tcPr>
            <w:tcW w:type="dxa" w:w="1400"/>
            <w:tcBorders>
              <w:top w:val="single" w:color="D9DEE7" w:sz="4"/>
              <w:left w:val="none" w:color="FFFFFF" w:sz="0"/>
              <w:bottom w:val="single" w:color="D9DEE7" w:sz="4"/>
              <w:right w:val="none" w:color="FFFFFF" w:sz="0"/>
            </w:tcBorders>
            <w:tcMar>
              <w:top w:type="dxa" w:w="60"/>
              <w:left w:type="dxa" w:w="110"/>
              <w:bottom w:type="dxa" w:w="60"/>
              <w:right w:type="dxa" w:w="110"/>
            </w:tcMar>
          </w:tcPr>
          <w:p>
            <w:pPr>
              <w:spacing w:after="0"/>
            </w:pPr>
            <w:r>
              <w:rPr>
                <w:rFonts w:ascii="Avenir Next" w:cs="Avenir Next" w:eastAsia="Avenir Next" w:hAnsi="Avenir Next"/>
                <w:b w:val="false"/>
                <w:bCs w:val="false"/>
                <w:color w:val="1B2A44"/>
                <w:sz w:val="18"/>
                <w:szCs w:val="18"/>
              </w:rPr>
              <w:t xml:space="preserve">Platform</w:t>
            </w:r>
          </w:p>
        </w:tc>
        <w:tc>
          <w:tcPr>
            <w:tcW w:type="dxa" w:w="3700"/>
            <w:tcBorders>
              <w:top w:val="single" w:color="D9DEE7" w:sz="4"/>
              <w:left w:val="none" w:color="FFFFFF" w:sz="0"/>
              <w:bottom w:val="single" w:color="D9DEE7" w:sz="4"/>
              <w:right w:val="none" w:color="FFFFFF" w:sz="0"/>
            </w:tcBorders>
            <w:tcMar>
              <w:top w:type="dxa" w:w="60"/>
              <w:left w:type="dxa" w:w="110"/>
              <w:bottom w:type="dxa" w:w="60"/>
              <w:right w:type="dxa" w:w="110"/>
            </w:tcMar>
          </w:tcPr>
          <w:p>
            <w:pPr>
              <w:spacing w:after="0"/>
            </w:pPr>
            <w:r>
              <w:rPr>
                <w:rFonts w:ascii="Avenir Next" w:cs="Avenir Next" w:eastAsia="Avenir Next" w:hAnsi="Avenir Next"/>
                <w:b w:val="false"/>
                <w:bCs w:val="false"/>
                <w:color w:val="1B2A44"/>
                <w:sz w:val="18"/>
                <w:szCs w:val="18"/>
              </w:rPr>
              <w:t xml:space="preserve">WordPress, Divi, four plugins, © 2023.</w:t>
            </w:r>
          </w:p>
        </w:tc>
        <w:tc>
          <w:tcPr>
            <w:tcW w:type="dxa" w:w="3900"/>
            <w:tcBorders>
              <w:top w:val="single" w:color="D9DEE7" w:sz="4"/>
              <w:left w:val="none" w:color="FFFFFF" w:sz="0"/>
              <w:bottom w:val="single" w:color="D9DEE7" w:sz="4"/>
              <w:right w:val="none" w:color="FFFFFF" w:sz="0"/>
            </w:tcBorders>
            <w:tcMar>
              <w:top w:type="dxa" w:w="60"/>
              <w:left w:type="dxa" w:w="110"/>
              <w:bottom w:type="dxa" w:w="60"/>
              <w:right w:type="dxa" w:w="110"/>
            </w:tcMar>
          </w:tcPr>
          <w:p>
            <w:pPr>
              <w:spacing w:after="0"/>
            </w:pPr>
            <w:r>
              <w:rPr>
                <w:rFonts w:ascii="Avenir Next" w:cs="Avenir Next" w:eastAsia="Avenir Next" w:hAnsi="Avenir Next"/>
                <w:b/>
                <w:bCs/>
                <w:color w:val="7A9A1A"/>
                <w:sz w:val="18"/>
                <w:szCs w:val="18"/>
              </w:rPr>
              <w:t xml:space="preserve">Fixed. </w:t>
            </w:r>
            <w:r>
              <w:rPr>
                <w:rFonts w:ascii="Avenir Next" w:cs="Avenir Next" w:eastAsia="Avenir Next" w:hAnsi="Avenir Next"/>
                <w:color w:val="1B2A44"/>
                <w:sz w:val="18"/>
                <w:szCs w:val="18"/>
              </w:rPr>
              <w:t xml:space="preserve">Static site, no plugins, current copyright, hosted and maintained by Hosted Companies.</w:t>
            </w:r>
          </w:p>
        </w:tc>
      </w:tr>
      <w:tr>
        <w:tc>
          <w:tcPr>
            <w:tcW w:type="dxa" w:w="1400"/>
            <w:tcBorders>
              <w:top w:val="single" w:color="D9DEE7" w:sz="4"/>
              <w:left w:val="none" w:color="FFFFFF" w:sz="0"/>
              <w:bottom w:val="single" w:color="D9DEE7" w:sz="4"/>
              <w:right w:val="none" w:color="FFFFFF" w:sz="0"/>
            </w:tcBorders>
            <w:tcMar>
              <w:top w:type="dxa" w:w="60"/>
              <w:left w:type="dxa" w:w="110"/>
              <w:bottom w:type="dxa" w:w="60"/>
              <w:right w:type="dxa" w:w="110"/>
            </w:tcMar>
          </w:tcPr>
          <w:p>
            <w:pPr>
              <w:spacing w:after="0"/>
            </w:pPr>
            <w:r>
              <w:rPr>
                <w:rFonts w:ascii="Avenir Next" w:cs="Avenir Next" w:eastAsia="Avenir Next" w:hAnsi="Avenir Next"/>
                <w:b w:val="false"/>
                <w:bCs w:val="false"/>
                <w:color w:val="1B2A44"/>
                <w:sz w:val="18"/>
                <w:szCs w:val="18"/>
              </w:rPr>
              <w:t xml:space="preserve">Third parties</w:t>
            </w:r>
          </w:p>
        </w:tc>
        <w:tc>
          <w:tcPr>
            <w:tcW w:type="dxa" w:w="3700"/>
            <w:tcBorders>
              <w:top w:val="single" w:color="D9DEE7" w:sz="4"/>
              <w:left w:val="none" w:color="FFFFFF" w:sz="0"/>
              <w:bottom w:val="single" w:color="D9DEE7" w:sz="4"/>
              <w:right w:val="none" w:color="FFFFFF" w:sz="0"/>
            </w:tcBorders>
            <w:tcMar>
              <w:top w:type="dxa" w:w="60"/>
              <w:left w:type="dxa" w:w="110"/>
              <w:bottom w:type="dxa" w:w="60"/>
              <w:right w:type="dxa" w:w="110"/>
            </w:tcMar>
          </w:tcPr>
          <w:p>
            <w:pPr>
              <w:spacing w:after="0"/>
            </w:pPr>
            <w:r>
              <w:rPr>
                <w:rFonts w:ascii="Avenir Next" w:cs="Avenir Next" w:eastAsia="Avenir Next" w:hAnsi="Avenir Next"/>
                <w:b w:val="false"/>
                <w:bCs w:val="false"/>
                <w:color w:val="1B2A44"/>
                <w:sz w:val="18"/>
                <w:szCs w:val="18"/>
              </w:rPr>
              <w:t xml:space="preserve">Seventeen external hosts incl. a stray video-conferencing script.</w:t>
            </w:r>
          </w:p>
        </w:tc>
        <w:tc>
          <w:tcPr>
            <w:tcW w:type="dxa" w:w="3900"/>
            <w:tcBorders>
              <w:top w:val="single" w:color="D9DEE7" w:sz="4"/>
              <w:left w:val="none" w:color="FFFFFF" w:sz="0"/>
              <w:bottom w:val="single" w:color="D9DEE7" w:sz="4"/>
              <w:right w:val="none" w:color="FFFFFF" w:sz="0"/>
            </w:tcBorders>
            <w:tcMar>
              <w:top w:type="dxa" w:w="60"/>
              <w:left w:type="dxa" w:w="110"/>
              <w:bottom w:type="dxa" w:w="60"/>
              <w:right w:type="dxa" w:w="110"/>
            </w:tcMar>
          </w:tcPr>
          <w:p>
            <w:pPr>
              <w:spacing w:after="0"/>
            </w:pPr>
            <w:r>
              <w:rPr>
                <w:rFonts w:ascii="Avenir Next" w:cs="Avenir Next" w:eastAsia="Avenir Next" w:hAnsi="Avenir Next"/>
                <w:b/>
                <w:bCs/>
                <w:color w:val="7A9A1A"/>
                <w:sz w:val="18"/>
                <w:szCs w:val="18"/>
              </w:rPr>
              <w:t xml:space="preserve">Fixed. </w:t>
            </w:r>
            <w:r>
              <w:rPr>
                <w:rFonts w:ascii="Avenir Next" w:cs="Avenir Next" w:eastAsia="Avenir Next" w:hAnsi="Avenir Next"/>
                <w:color w:val="1B2A44"/>
                <w:sz w:val="18"/>
                <w:szCs w:val="18"/>
              </w:rPr>
              <w:t xml:space="preserve">YouTube only, on click. Hero video self-hosted with a poster image.</w:t>
            </w:r>
          </w:p>
        </w:tc>
      </w:tr>
      <w:tr>
        <w:tc>
          <w:tcPr>
            <w:tcW w:type="dxa" w:w="1400"/>
            <w:tcBorders>
              <w:top w:val="single" w:color="D9DEE7" w:sz="4"/>
              <w:left w:val="none" w:color="FFFFFF" w:sz="0"/>
              <w:bottom w:val="single" w:color="D9DEE7" w:sz="4"/>
              <w:right w:val="none" w:color="FFFFFF" w:sz="0"/>
            </w:tcBorders>
            <w:tcMar>
              <w:top w:type="dxa" w:w="60"/>
              <w:left w:type="dxa" w:w="110"/>
              <w:bottom w:type="dxa" w:w="60"/>
              <w:right w:type="dxa" w:w="110"/>
            </w:tcMar>
          </w:tcPr>
          <w:p>
            <w:pPr>
              <w:spacing w:after="0"/>
            </w:pPr>
            <w:r>
              <w:rPr>
                <w:rFonts w:ascii="Avenir Next" w:cs="Avenir Next" w:eastAsia="Avenir Next" w:hAnsi="Avenir Next"/>
                <w:b w:val="false"/>
                <w:bCs w:val="false"/>
                <w:color w:val="1B2A44"/>
                <w:sz w:val="18"/>
                <w:szCs w:val="18"/>
              </w:rPr>
              <w:t xml:space="preserve">Security</w:t>
            </w:r>
          </w:p>
        </w:tc>
        <w:tc>
          <w:tcPr>
            <w:tcW w:type="dxa" w:w="3700"/>
            <w:tcBorders>
              <w:top w:val="single" w:color="D9DEE7" w:sz="4"/>
              <w:left w:val="none" w:color="FFFFFF" w:sz="0"/>
              <w:bottom w:val="single" w:color="D9DEE7" w:sz="4"/>
              <w:right w:val="none" w:color="FFFFFF" w:sz="0"/>
            </w:tcBorders>
            <w:tcMar>
              <w:top w:type="dxa" w:w="60"/>
              <w:left w:type="dxa" w:w="110"/>
              <w:bottom w:type="dxa" w:w="60"/>
              <w:right w:type="dxa" w:w="110"/>
            </w:tcMar>
          </w:tcPr>
          <w:p>
            <w:pPr>
              <w:spacing w:after="0"/>
            </w:pPr>
            <w:r>
              <w:rPr>
                <w:rFonts w:ascii="Avenir Next" w:cs="Avenir Next" w:eastAsia="Avenir Next" w:hAnsi="Avenir Next"/>
                <w:b w:val="false"/>
                <w:bCs w:val="false"/>
                <w:color w:val="1B2A44"/>
                <w:sz w:val="18"/>
                <w:szCs w:val="18"/>
              </w:rPr>
              <w:t xml:space="preserve">Version strings exposed; patch status unknown.</w:t>
            </w:r>
          </w:p>
        </w:tc>
        <w:tc>
          <w:tcPr>
            <w:tcW w:type="dxa" w:w="3900"/>
            <w:tcBorders>
              <w:top w:val="single" w:color="D9DEE7" w:sz="4"/>
              <w:left w:val="none" w:color="FFFFFF" w:sz="0"/>
              <w:bottom w:val="single" w:color="D9DEE7" w:sz="4"/>
              <w:right w:val="none" w:color="FFFFFF" w:sz="0"/>
            </w:tcBorders>
            <w:tcMar>
              <w:top w:type="dxa" w:w="60"/>
              <w:left w:type="dxa" w:w="110"/>
              <w:bottom w:type="dxa" w:w="60"/>
              <w:right w:type="dxa" w:w="110"/>
            </w:tcMar>
          </w:tcPr>
          <w:p>
            <w:pPr>
              <w:spacing w:after="0"/>
            </w:pPr>
            <w:r>
              <w:rPr>
                <w:rFonts w:ascii="Avenir Next" w:cs="Avenir Next" w:eastAsia="Avenir Next" w:hAnsi="Avenir Next"/>
                <w:b/>
                <w:bCs/>
                <w:color w:val="7A9A1A"/>
                <w:sz w:val="18"/>
                <w:szCs w:val="18"/>
              </w:rPr>
              <w:t xml:space="preserve">Fixed. </w:t>
            </w:r>
            <w:r>
              <w:rPr>
                <w:rFonts w:ascii="Avenir Next" w:cs="Avenir Next" w:eastAsia="Avenir Next" w:hAnsi="Avenir Next"/>
                <w:color w:val="1B2A44"/>
                <w:sz w:val="18"/>
                <w:szCs w:val="18"/>
              </w:rPr>
              <w:t xml:space="preserve">Nothing to patch; no server-side code on the public site.</w:t>
            </w:r>
          </w:p>
        </w:tc>
      </w:tr>
    </w:tbl>
    <w:p>
      <w:pPr>
        <w:spacing w:after="120" w:line="275"/>
      </w:pPr>
      <w:r>
        <w:rPr>
          <w:rFonts w:ascii="Avenir Next" w:cs="Avenir Next" w:eastAsia="Avenir Next" w:hAnsi="Avenir Next"/>
          <w:color w:val="1B2A44"/>
          <w:sz w:val="21"/>
          <w:szCs w:val="21"/>
        </w:rPr>
        <w:t xml:space="preserve"/>
      </w:r>
    </w:p>
    <w:p>
      <w:pPr>
        <w:pBdr>
          <w:bottom w:val="single" w:color="D9DEE7" w:sz="4" w:space="4"/>
        </w:pBdr>
        <w:spacing w:after="110" w:before="300"/>
      </w:pPr>
      <w:r>
        <w:rPr>
          <w:rFonts w:ascii="Avenir Next" w:cs="Avenir Next" w:eastAsia="Avenir Next" w:hAnsi="Avenir Next"/>
          <w:b/>
          <w:bCs/>
          <w:color w:val="1B2A44"/>
          <w:sz w:val="25"/>
          <w:szCs w:val="25"/>
        </w:rPr>
        <w:t xml:space="preserve">6. In progress under the existing plan</w:t>
      </w:r>
    </w:p>
    <w:p>
      <w:pPr>
        <w:pStyle w:val="ListParagraph"/>
        <w:numPr>
          <w:ilvl w:val="0"/>
          <w:numId w:val="2"/>
        </w:numPr>
        <w:spacing w:after="60" w:line="275"/>
      </w:pPr>
      <w:r>
        <w:rPr>
          <w:rFonts w:ascii="Avenir Next" w:cs="Avenir Next" w:eastAsia="Avenir Next" w:hAnsi="Avenir Next"/>
          <w:b/>
          <w:bCs/>
          <w:color w:val="1B2A44"/>
          <w:sz w:val="21"/>
          <w:szCs w:val="21"/>
        </w:rPr>
        <w:t xml:space="preserve">Concert calendar</w:t>
      </w:r>
      <w:r>
        <w:rPr>
          <w:rFonts w:ascii="Avenir Next" w:cs="Avenir Next" w:eastAsia="Avenir Next" w:hAnsi="Avenir Next"/>
          <w:color w:val="1B2A44"/>
          <w:sz w:val="21"/>
          <w:szCs w:val="21"/>
        </w:rPr>
        <w:t xml:space="preserve"> — Music Is Life widget, maintained by the client in one place.</w:t>
      </w:r>
    </w:p>
    <w:p>
      <w:pPr>
        <w:pStyle w:val="ListParagraph"/>
        <w:numPr>
          <w:ilvl w:val="0"/>
          <w:numId w:val="2"/>
        </w:numPr>
        <w:spacing w:after="60" w:line="275"/>
      </w:pPr>
      <w:r>
        <w:rPr>
          <w:rFonts w:ascii="Avenir Next" w:cs="Avenir Next" w:eastAsia="Avenir Next" w:hAnsi="Avenir Next"/>
          <w:b/>
          <w:bCs/>
          <w:color w:val="1B2A44"/>
          <w:sz w:val="21"/>
          <w:szCs w:val="21"/>
        </w:rPr>
        <w:t xml:space="preserve">Contact details</w:t>
      </w:r>
      <w:r>
        <w:rPr>
          <w:rFonts w:ascii="Avenir Next" w:cs="Avenir Next" w:eastAsia="Avenir Next" w:hAnsi="Avenir Next"/>
          <w:color w:val="1B2A44"/>
          <w:sz w:val="21"/>
          <w:szCs w:val="21"/>
        </w:rPr>
        <w:t xml:space="preserve"> — role address on the client’s domain replacing the webmail address; mobile number retained or replaced at the client’s choice.</w:t>
      </w:r>
    </w:p>
    <w:p>
      <w:pPr>
        <w:pStyle w:val="ListParagraph"/>
        <w:numPr>
          <w:ilvl w:val="0"/>
          <w:numId w:val="2"/>
        </w:numPr>
        <w:spacing w:after="60" w:line="275"/>
      </w:pPr>
      <w:r>
        <w:rPr>
          <w:rFonts w:ascii="Avenir Next" w:cs="Avenir Next" w:eastAsia="Avenir Next" w:hAnsi="Avenir Next"/>
          <w:b/>
          <w:bCs/>
          <w:color w:val="1B2A44"/>
          <w:sz w:val="21"/>
          <w:szCs w:val="21"/>
        </w:rPr>
        <w:t xml:space="preserve">Enquiry form</w:t>
      </w:r>
      <w:r>
        <w:rPr>
          <w:rFonts w:ascii="Avenir Next" w:cs="Avenir Next" w:eastAsia="Avenir Next" w:hAnsi="Avenir Next"/>
          <w:color w:val="1B2A44"/>
          <w:sz w:val="21"/>
          <w:szCs w:val="21"/>
        </w:rPr>
        <w:t xml:space="preserve"> — new handler with Turnstile protection, replacing reCAPTCHA.</w:t>
      </w:r>
    </w:p>
    <w:p>
      <w:pPr>
        <w:pBdr>
          <w:bottom w:val="single" w:color="D9DEE7" w:sz="4" w:space="4"/>
        </w:pBdr>
        <w:spacing w:after="110" w:before="300"/>
      </w:pPr>
      <w:r>
        <w:rPr>
          <w:rFonts w:ascii="Avenir Next" w:cs="Avenir Next" w:eastAsia="Avenir Next" w:hAnsi="Avenir Next"/>
          <w:b/>
          <w:bCs/>
          <w:color w:val="1B2A44"/>
          <w:sz w:val="25"/>
          <w:szCs w:val="25"/>
        </w:rPr>
        <w:t xml:space="preserve">7. Needed from the client</w:t>
      </w:r>
    </w:p>
    <w:p>
      <w:pPr>
        <w:pStyle w:val="ListParagraph"/>
        <w:numPr>
          <w:ilvl w:val="0"/>
          <w:numId w:val="2"/>
        </w:numPr>
        <w:spacing w:after="60" w:line="275"/>
      </w:pPr>
      <w:r>
        <w:rPr>
          <w:rFonts w:ascii="Avenir Next" w:cs="Avenir Next" w:eastAsia="Avenir Next" w:hAnsi="Avenir Next"/>
          <w:color w:val="1B2A44"/>
          <w:sz w:val="21"/>
          <w:szCs w:val="21"/>
        </w:rPr>
        <w:t xml:space="preserve">Original logo artwork and any high-resolution band and member photographs.</w:t>
      </w:r>
    </w:p>
    <w:p>
      <w:pPr>
        <w:pStyle w:val="ListParagraph"/>
        <w:numPr>
          <w:ilvl w:val="0"/>
          <w:numId w:val="2"/>
        </w:numPr>
        <w:spacing w:after="60" w:line="275"/>
      </w:pPr>
      <w:r>
        <w:rPr>
          <w:rFonts w:ascii="Avenir Next" w:cs="Avenir Next" w:eastAsia="Avenir Next" w:hAnsi="Avenir Next"/>
          <w:color w:val="1B2A44"/>
          <w:sz w:val="21"/>
          <w:szCs w:val="21"/>
        </w:rPr>
        <w:t xml:space="preserve">Confirmation of rights to the hero video and stage photography.</w:t>
      </w:r>
    </w:p>
    <w:p>
      <w:pPr>
        <w:pStyle w:val="ListParagraph"/>
        <w:numPr>
          <w:ilvl w:val="0"/>
          <w:numId w:val="2"/>
        </w:numPr>
        <w:spacing w:after="60" w:line="275"/>
      </w:pPr>
      <w:r>
        <w:rPr>
          <w:rFonts w:ascii="Avenir Next" w:cs="Avenir Next" w:eastAsia="Avenir Next" w:hAnsi="Avenir Next"/>
          <w:color w:val="1B2A44"/>
          <w:sz w:val="21"/>
          <w:szCs w:val="21"/>
        </w:rPr>
        <w:t xml:space="preserve">The current concert list with each venue's box-office link, to seed the calendar.</w:t>
      </w:r>
    </w:p>
    <w:p>
      <w:pPr>
        <w:pStyle w:val="ListParagraph"/>
        <w:numPr>
          <w:ilvl w:val="0"/>
          <w:numId w:val="2"/>
        </w:numPr>
        <w:spacing w:after="60" w:line="275"/>
      </w:pPr>
      <w:r>
        <w:rPr>
          <w:rFonts w:ascii="Avenir Next" w:cs="Avenir Next" w:eastAsia="Avenir Next" w:hAnsi="Avenir Next"/>
          <w:color w:val="1B2A44"/>
          <w:sz w:val="21"/>
          <w:szCs w:val="21"/>
        </w:rPr>
        <w:t xml:space="preserve">Number of albums released, for the About page.</w:t>
      </w:r>
    </w:p>
    <w:p>
      <w:pPr>
        <w:spacing w:after="160" w:line="275"/>
      </w:pPr>
      <w:r>
        <w:rPr>
          <w:rFonts w:ascii="Avenir Next" w:cs="Avenir Next" w:eastAsia="Avenir Next" w:hAnsi="Avenir Next"/>
          <w:color w:val="1B2A44"/>
          <w:sz w:val="21"/>
          <w:szCs w:val="21"/>
        </w:rPr>
        <w:t xml:space="preserve"/>
      </w:r>
    </w:p>
    <w:p>
      <w:pPr>
        <w:spacing w:after="30" w:line="275"/>
      </w:pPr>
      <w:r>
        <w:rPr>
          <w:rFonts w:ascii="Avenir Next" w:cs="Avenir Next" w:eastAsia="Avenir Next" w:hAnsi="Avenir Next"/>
          <w:b/>
          <w:bCs/>
          <w:color w:val="1B2A44"/>
          <w:sz w:val="21"/>
          <w:szCs w:val="21"/>
        </w:rPr>
        <w:t xml:space="preserve">Paul Sherwood</w:t>
      </w:r>
    </w:p>
    <w:p>
      <w:pPr>
        <w:spacing w:after="110" w:line="275"/>
      </w:pPr>
      <w:r>
        <w:rPr>
          <w:rFonts w:ascii="Avenir Next" w:cs="Avenir Next" w:eastAsia="Avenir Next" w:hAnsi="Avenir Next"/>
          <w:color w:val="5A6474"/>
          <w:sz w:val="17"/>
          <w:szCs w:val="17"/>
        </w:rPr>
        <w:t xml:space="preserve">Hosted Companies Ltd · 0203 886 3391 · paul.sherwood@hostedcompanies.co.uk</w:t>
      </w:r>
    </w:p>
    <w:sectPr>
      <w:headerReference w:type="default" r:id="rId7"/>
      <w:footerReference w:type="default" r:id="rId8"/>
      <w:pgSz w:w="11906" w:h="16838" w:orient="portrait"/>
      <w:pgMar w:top="1300" w:right="1440" w:bottom="1150" w:left="1440" w:header="600" w:footer="50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0"/>
      <w:jc w:val="center"/>
    </w:pPr>
    <w:r>
      <w:drawing>
        <wp:inline distT="0" distB="0" distL="0" distR="0">
          <wp:extent cx="542925" cy="609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542925" cy="609600"/>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ind w:left="2041"/>
    </w:pPr>
    <w:r>
      <w:drawing>
        <wp:inline distT="0" distB="0" distL="0" distR="0">
          <wp:extent cx="3076575" cy="8477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3076575" cy="84772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8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venir Next" w:cs="Avenir Next" w:eastAsia="Avenir Next" w:hAnsi="Avenir Next"/>
        <w:color w:val="1B2A44"/>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0" Type="http://schemas.openxmlformats.org/officeDocument/2006/relationships/image" Target="media/944ab4c84358095583cdfbb53fda1b4fa8543de2.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3684bd6a71bfc994ce2e01cc079cfbf312b7e37e.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2026-09-14T06:59:54.699Z</dcterms:created>
  <dcterms:modified xsi:type="dcterms:W3CDTF">2026-09-14T06:59:54.699Z</dcterms:modified>
</cp:coreProperties>
</file>

<file path=docProps/custom.xml><?xml version="1.0" encoding="utf-8"?>
<Properties xmlns="http://schemas.openxmlformats.org/officeDocument/2006/custom-properties" xmlns:vt="http://schemas.openxmlformats.org/officeDocument/2006/docPropsVTypes"/>
</file>